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42e611cf5f74c19"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25:011.</w:t>
      </w:r>
      <w:r>
        <w:t xml:space="preserve"> </w:t>
      </w:r>
      <w:r>
        <w:t xml:space="preserve">Approved schools; licensure application; fees</w:t>
      </w:r>
      <w:r>
        <w:rPr>
          <w:u w:val="single"/>
        </w:rPr>
        <w:t xml:space="preserve">; licensure requirements</w:t>
      </w:r>
      <w:r>
        <w:t xml:space="preserve">.</w:t>
      </w:r>
    </w:p>
    <w:p>
      <w:pPr>
        <w:pStyle w:val="kar_markup_metadata"/>
      </w:pPr>
      <w:r>
        <w:t xml:space="preserve">RELATES TO: </w:t>
      </w:r>
      <w:r>
        <w:t xml:space="preserve">KRS 218A.205, 311.420, 311.480</w:t>
      </w:r>
    </w:p>
    <w:p>
      <w:pPr>
        <w:pStyle w:val="kar_markup_metadata"/>
      </w:pPr>
      <w:r>
        <w:t xml:space="preserve">STATUTORY AUTHORITY: </w:t>
      </w:r>
      <w:r>
        <w:t xml:space="preserve">KRS </w:t>
      </w:r>
      <w:r>
        <w:rPr>
          <w:u w:val="single"/>
        </w:rPr>
        <w:t xml:space="preserve">218A.202(3)</w:t>
      </w:r>
      <w:r>
        <w:t xml:space="preserve">[</w:t>
      </w:r>
      <w:r>
        <w:rPr>
          <w:strike w:val="true"/>
        </w:rPr>
        <w:t xml:space="preserve">218A.202(2)</w:t>
      </w:r>
      <w:r>
        <w:t xml:space="preserve">]</w:t>
      </w:r>
      <w:r>
        <w:t xml:space="preserve">, 311.420(4)</w:t>
      </w:r>
    </w:p>
    <w:p>
      <w:pPr>
        <w:pStyle w:val="kar_markup_metadata"/>
      </w:pPr>
      <w:r>
        <w:t xml:space="preserve">NECESSITY, FUNCTION, AND CONFORMITY: </w:t>
      </w:r>
      <w:r>
        <w:t xml:space="preserve">KRS 311.420 requires all persons engaging in the practice of podiatry in Kentucky to be licensed by the Board of Podiatry. KRS 311.420 provides that each applicant shall submit to an examination conducted by the board. KRS </w:t>
      </w:r>
      <w:r>
        <w:rPr>
          <w:u w:val="single"/>
        </w:rPr>
        <w:t xml:space="preserve">218A.202(3)</w:t>
      </w:r>
      <w:r>
        <w:t xml:space="preserve">[</w:t>
      </w:r>
      <w:r>
        <w:rPr>
          <w:strike w:val="true"/>
        </w:rPr>
        <w:t xml:space="preserve">218A.202(2)</w:t>
      </w:r>
      <w:r>
        <w:t xml:space="preserve">]</w:t>
      </w:r>
      <w:r>
        <w:t xml:space="preserve"> requires licensees that prescribe controlled substances to be registered with the Kentucky All-Schedule Prescription Electronic Reporting System (KASPER). KRS 218A.205 requires the board to place restrictions on licensees and applicants that have specific convictions or restrictions related to prescribing or dispensing controlled substances. This administrative regulation establishes the procedures to be followed in obtaining an application, the fees to be charged, and the procedures relating to the examination and issuance of a license to practice podiatry in this state.</w:t>
      </w:r>
    </w:p>
    <w:p>
      <w:pPr>
        <w:pStyle w:val="kar_section"/>
      </w:pPr>
      <w:r>
        <w:t xml:space="preserve">Section 1.</w:t>
      </w:r>
      <w:r>
        <w:t xml:space="preserve"> </w:t>
      </w:r>
      <w:r>
        <w:t xml:space="preserve"> </w:t>
      </w:r>
    </w:p>
    <w:p>
      <w:pPr>
        <w:pStyle w:val="kar_subsection"/>
      </w:pPr>
      <w:r>
        <w:t xml:space="preserve">(1)</w:t>
      </w:r>
      <w:r>
        <w:t xml:space="preserve"> </w:t>
      </w:r>
      <w:r>
        <w:t xml:space="preserve">The board approves the following schools or colleges of podiatry as having standards and requirements adequate to satisfy the educational requirement for taking the podiatry examination for licensure:</w:t>
      </w:r>
    </w:p>
    <w:p>
      <w:pPr>
        <w:pStyle w:val="kar_paragraph"/>
      </w:pPr>
      <w:r>
        <w:rPr>
          <w:u w:val="single"/>
        </w:rPr>
        <w:t xml:space="preserve">(a)</w:t>
      </w:r>
      <w:r>
        <w:t xml:space="preserve"> </w:t>
      </w:r>
      <w:r>
        <w:rPr>
          <w:u w:val="single"/>
        </w:rPr>
        <w:t xml:space="preserve">Arizona College of Podiatric Medicine at Midwestern University;</w:t>
      </w:r>
    </w:p>
    <w:p>
      <w:pPr>
        <w:pStyle w:val="kar_paragraph"/>
      </w:pPr>
      <w:r>
        <w:rPr>
          <w:u w:val="single"/>
        </w:rPr>
        <w:t xml:space="preserve">(b)</w:t>
      </w:r>
      <w:r>
        <w:t xml:space="preserve">[</w:t>
      </w:r>
      <w:r>
        <w:rPr>
          <w:strike w:val="true"/>
        </w:rPr>
        <w:t xml:space="preserve">(a)</w:t>
      </w:r>
      <w:r>
        <w:t xml:space="preserve">]</w:t>
      </w:r>
      <w:r>
        <w:t xml:space="preserve"> </w:t>
      </w:r>
      <w:r>
        <w:t xml:space="preserve">Barry University School of Podiatric Medicine, Miami Shores, Florida;</w:t>
      </w:r>
    </w:p>
    <w:p>
      <w:pPr>
        <w:pStyle w:val="kar_paragraph"/>
      </w:pPr>
      <w:r>
        <w:t xml:space="preserve">[</w:t>
      </w:r>
      <w:r>
        <w:rPr>
          <w:strike w:val="true"/>
        </w:rPr>
        <w:t xml:space="preserve">(b)</w:t>
      </w:r>
      <w:r>
        <w:t xml:space="preserve">]</w:t>
      </w:r>
      <w:r>
        <w:t xml:space="preserve"> </w:t>
      </w:r>
      <w:r>
        <w:t xml:space="preserve">[</w:t>
      </w:r>
      <w:r>
        <w:rPr>
          <w:strike w:val="true"/>
        </w:rPr>
        <w:t xml:space="preserve">California School of Podiatric Medicine at Samuel Merritt University, Oakland, California;</w:t>
      </w:r>
      <w:r>
        <w:t xml:space="preserve">]</w:t>
      </w:r>
    </w:p>
    <w:p>
      <w:pPr>
        <w:pStyle w:val="kar_paragraph"/>
      </w:pPr>
      <w:r>
        <w:t xml:space="preserve">(c)</w:t>
      </w:r>
      <w:r>
        <w:t xml:space="preserve"> </w:t>
      </w:r>
      <w:r>
        <w:rPr>
          <w:u w:val="single"/>
        </w:rPr>
        <w:t xml:space="preserve">College of Podiatric Medicine and Surgery at Des Moines University;</w:t>
      </w:r>
      <w:r>
        <w:t xml:space="preserve">[</w:t>
      </w:r>
      <w:r>
        <w:rPr>
          <w:strike w:val="true"/>
        </w:rPr>
        <w:t xml:space="preserve">Des Moines University College of Podiatric Medicine and Surgery, Des Moines, Iowa;</w:t>
      </w:r>
      <w:r>
        <w:t xml:space="preserve">]</w:t>
      </w:r>
    </w:p>
    <w:p>
      <w:pPr>
        <w:pStyle w:val="kar_paragraph"/>
      </w:pPr>
      <w:r>
        <w:t xml:space="preserve">(d)</w:t>
      </w:r>
      <w:r>
        <w:t xml:space="preserve"> </w:t>
      </w:r>
      <w:r>
        <w:t xml:space="preserve">Kent State University College of Podiatric Medicine, Independence, Ohio;</w:t>
      </w:r>
    </w:p>
    <w:p>
      <w:pPr>
        <w:pStyle w:val="kar_paragraph"/>
      </w:pPr>
      <w:r>
        <w:t xml:space="preserve">(e)</w:t>
      </w:r>
      <w:r>
        <w:t xml:space="preserve"> </w:t>
      </w:r>
      <w:r>
        <w:rPr>
          <w:u w:val="single"/>
        </w:rPr>
        <w:t xml:space="preserve">Lake Erie College of Osteopathic Medicine School of Podiatric Medicine;</w:t>
      </w:r>
      <w:r>
        <w:t xml:space="preserve">[</w:t>
      </w:r>
      <w:r>
        <w:rPr>
          <w:strike w:val="true"/>
        </w:rPr>
        <w:t xml:space="preserve">Midwestern University Arizona School of Podiatric Medicine, Glendale, Arizona;</w:t>
      </w:r>
      <w:r>
        <w:t xml:space="preserve">]</w:t>
      </w:r>
    </w:p>
    <w:p>
      <w:pPr>
        <w:pStyle w:val="kar_paragraph"/>
      </w:pPr>
      <w:r>
        <w:t xml:space="preserve">(f)</w:t>
      </w:r>
      <w:r>
        <w:t xml:space="preserve"> </w:t>
      </w:r>
      <w:r>
        <w:t xml:space="preserve">New York College of Podiatric Medicine</w:t>
      </w:r>
      <w:r>
        <w:rPr>
          <w:u w:val="single"/>
        </w:rPr>
        <w:t xml:space="preserve"> at Touro University</w:t>
      </w:r>
      <w:r>
        <w:t xml:space="preserve">, New York, New York;</w:t>
      </w:r>
    </w:p>
    <w:p>
      <w:pPr>
        <w:pStyle w:val="kar_paragraph"/>
      </w:pPr>
      <w:r>
        <w:t xml:space="preserve">(g)</w:t>
      </w:r>
      <w:r>
        <w:t xml:space="preserve"> </w:t>
      </w:r>
      <w:r>
        <w:t xml:space="preserve">Dr. William M. Scholl College of Podiatric Medicine at the Rosalind Franklin University of Medicine and Science, Chicago, Illinois;</w:t>
      </w:r>
    </w:p>
    <w:p>
      <w:pPr>
        <w:pStyle w:val="kar_paragraph"/>
      </w:pPr>
      <w:r>
        <w:rPr>
          <w:u w:val="single"/>
        </w:rPr>
        <w:t xml:space="preserve">(h)</w:t>
      </w:r>
      <w:r>
        <w:t xml:space="preserve"> </w:t>
      </w:r>
      <w:r>
        <w:rPr>
          <w:u w:val="single"/>
        </w:rPr>
        <w:t xml:space="preserve">Samuel Merritt University College of Podiatric Medicine (Formerly California School of Podiatric Medicine at Samuel Merritt University.</w:t>
      </w:r>
    </w:p>
    <w:p>
      <w:pPr>
        <w:pStyle w:val="kar_paragraph"/>
      </w:pPr>
      <w:r>
        <w:rPr>
          <w:u w:val="single"/>
        </w:rPr>
        <w:t xml:space="preserve">(i)</w:t>
      </w:r>
      <w:r>
        <w:t xml:space="preserve">[</w:t>
      </w:r>
      <w:r>
        <w:rPr>
          <w:strike w:val="true"/>
        </w:rPr>
        <w:t xml:space="preserve">(h)</w:t>
      </w:r>
      <w:r>
        <w:t xml:space="preserve">]</w:t>
      </w:r>
      <w:r>
        <w:t xml:space="preserve"> </w:t>
      </w:r>
      <w:r>
        <w:t xml:space="preserve">Temple University School of Podiatric Medicine, Philadelphia, Pennsylvania;</w:t>
      </w:r>
      <w:r>
        <w:t xml:space="preserve">[</w:t>
      </w:r>
      <w:r>
        <w:rPr>
          <w:strike w:val="true"/>
        </w:rPr>
        <w:t xml:space="preserve"> and</w:t>
      </w:r>
      <w:r>
        <w:t xml:space="preserve">]</w:t>
      </w:r>
    </w:p>
    <w:p>
      <w:pPr>
        <w:pStyle w:val="kar_paragraph"/>
      </w:pPr>
      <w:r>
        <w:rPr>
          <w:u w:val="single"/>
        </w:rPr>
        <w:t xml:space="preserve">(j)</w:t>
      </w:r>
      <w:r>
        <w:t xml:space="preserve"> </w:t>
      </w:r>
      <w:r>
        <w:rPr>
          <w:u w:val="single"/>
        </w:rPr>
        <w:t xml:space="preserve">University of Texas Rio Grande Valley School of Podiatric Medicine; and</w:t>
      </w:r>
    </w:p>
    <w:p>
      <w:pPr>
        <w:pStyle w:val="kar_paragraph"/>
      </w:pPr>
      <w:r>
        <w:rPr>
          <w:u w:val="single"/>
        </w:rPr>
        <w:t xml:space="preserve">(k)</w:t>
      </w:r>
      <w:r>
        <w:t xml:space="preserve">[</w:t>
      </w:r>
      <w:r>
        <w:rPr>
          <w:strike w:val="true"/>
        </w:rPr>
        <w:t xml:space="preserve">(i)</w:t>
      </w:r>
      <w:r>
        <w:t xml:space="preserve">]</w:t>
      </w:r>
      <w:r>
        <w:t xml:space="preserve"> </w:t>
      </w:r>
      <w:r>
        <w:t xml:space="preserve">Western University of Health Sciences College of Podiatric Medicine, Pomona, California.</w:t>
      </w:r>
    </w:p>
    <w:p>
      <w:pPr>
        <w:pStyle w:val="kar_subsection"/>
      </w:pPr>
      <w:r>
        <w:t xml:space="preserve">(2)</w:t>
      </w:r>
      <w:r>
        <w:t xml:space="preserve"> </w:t>
      </w:r>
      <w:r>
        <w:t xml:space="preserve">All other schools or colleges of podiatry shall have academic standards and requirements equivalent to the schools or colleges listed above as evaluated by the board in order to be approved by the board. Evaluation of the academic standards and requirements shall be made by the board after an applicant has filed an Application for Podiatry License with the board.</w:t>
      </w:r>
    </w:p>
    <w:p>
      <w:pPr>
        <w:pStyle w:val="kar_section"/>
      </w:pPr>
      <w:r>
        <w:t xml:space="preserve">Section 2.</w:t>
      </w:r>
      <w:r>
        <w:t xml:space="preserve"> </w:t>
      </w:r>
      <w:r>
        <w:t xml:space="preserve"> </w:t>
      </w:r>
    </w:p>
    <w:p>
      <w:pPr>
        <w:pStyle w:val="kar_subsection"/>
      </w:pPr>
      <w:r>
        <w:t xml:space="preserve">(1)</w:t>
      </w:r>
      <w:r>
        <w:t xml:space="preserve"> </w:t>
      </w:r>
      <w:r>
        <w:t xml:space="preserve">Every applicant, otherwise eligible to take the examination pursuant to the provisions of KRS 311.420, shall file a completed and notarized Application for Podiatry License</w:t>
      </w:r>
      <w:r>
        <w:rPr>
          <w:u w:val="single"/>
        </w:rPr>
        <w:t xml:space="preserve">, Form DPL-BOP-01,</w:t>
      </w:r>
      <w:r>
        <w:t xml:space="preserve"> with the board at its principal office at least </w:t>
      </w:r>
      <w:r>
        <w:rPr>
          <w:u w:val="single"/>
        </w:rPr>
        <w:t xml:space="preserve">fourteen (14) days prior to the board meeting at which the application is to be reviewed.</w:t>
      </w:r>
      <w:r>
        <w:t xml:space="preserve">[</w:t>
      </w:r>
      <w:r>
        <w:rPr>
          <w:strike w:val="true"/>
        </w:rPr>
        <w:t xml:space="preserve">forty (40) days prior to the date of the examination in order to be eligible to take the examination.</w:t>
      </w:r>
      <w:r>
        <w:t xml:space="preserve">]</w:t>
      </w:r>
    </w:p>
    <w:p>
      <w:pPr>
        <w:pStyle w:val="kar_subsection"/>
      </w:pPr>
      <w:r>
        <w:t xml:space="preserve">(2)</w:t>
      </w:r>
      <w:r>
        <w:t xml:space="preserve"> </w:t>
      </w:r>
      <w:r>
        <w:t xml:space="preserve">The president of the board may permit a partially completed application to be filed if good cause is shown by the applicant. </w:t>
      </w:r>
      <w:r>
        <w:t xml:space="preserve">[</w:t>
      </w:r>
      <w:r>
        <w:rPr>
          <w:strike w:val="true"/>
        </w:rPr>
        <w:t xml:space="preserve">For the purposes of this subsection, good cause includes situations such as an applicant applying late, having to retake the board examination, or waiting for pending board examination results.</w:t>
      </w:r>
      <w:r>
        <w:t xml:space="preserve">]</w:t>
      </w:r>
    </w:p>
    <w:p>
      <w:pPr>
        <w:pStyle w:val="kar_subsection"/>
      </w:pPr>
      <w:r>
        <w:t xml:space="preserve">(3)</w:t>
      </w:r>
      <w:r>
        <w:t xml:space="preserve"> </w:t>
      </w:r>
      <w:r>
        <w:t xml:space="preserve">The fee for the examination or reexamination shall be $300 and shall be paid when the </w:t>
      </w:r>
      <w:r>
        <w:rPr>
          <w:u w:val="single"/>
        </w:rPr>
        <w:t xml:space="preserve">application</w:t>
      </w:r>
      <w:r>
        <w:t xml:space="preserve">[</w:t>
      </w:r>
      <w:r>
        <w:rPr>
          <w:strike w:val="true"/>
        </w:rPr>
        <w:t xml:space="preserve">Application for Podiatry License</w:t>
      </w:r>
      <w:r>
        <w:t xml:space="preserve">]</w:t>
      </w:r>
      <w:r>
        <w:t xml:space="preserve"> is filed with the board. The fee shall be made payable to the Kentucky State Treasurer in United States currency by certified check, cashier's check, </w:t>
      </w:r>
      <w:r>
        <w:t xml:space="preserve">[</w:t>
      </w:r>
      <w:r>
        <w:rPr>
          <w:strike w:val="true"/>
        </w:rPr>
        <w:t xml:space="preserve">or</w:t>
      </w:r>
      <w:r>
        <w:t xml:space="preserve">]</w:t>
      </w:r>
      <w:r>
        <w:t xml:space="preserve"> postal money order</w:t>
      </w:r>
      <w:r>
        <w:rPr>
          <w:u w:val="single"/>
        </w:rPr>
        <w:t xml:space="preserve">, or ACH payment, if available,</w:t>
      </w:r>
      <w:r>
        <w:t xml:space="preserve"> and shall not be refundable.</w:t>
      </w:r>
    </w:p>
    <w:p>
      <w:pPr>
        <w:pStyle w:val="kar_subsection"/>
      </w:pPr>
      <w:r>
        <w:t xml:space="preserve">(4)</w:t>
      </w:r>
      <w:r>
        <w:t xml:space="preserve"> </w:t>
      </w:r>
      <w:r>
        <w:t xml:space="preserve">[</w:t>
      </w:r>
      <w:r>
        <w:rPr>
          <w:strike w:val="true"/>
        </w:rPr>
        <w:t xml:space="preserve">Any applicant who fails to attain a passing score as required by the board may apply to the board for reexamination.</w:t>
      </w:r>
      <w:r>
        <w:t xml:space="preserve">]</w:t>
      </w:r>
    </w:p>
    <w:p>
      <w:pPr>
        <w:pStyle w:val="kar_subsection"/>
      </w:pPr>
      <w:r>
        <w:t xml:space="preserve">[</w:t>
      </w:r>
      <w:r>
        <w:rPr>
          <w:strike w:val="true"/>
        </w:rPr>
        <w:t xml:space="preserve">(5)</w:t>
      </w:r>
      <w:r>
        <w:t xml:space="preserve">]</w:t>
      </w:r>
      <w:r>
        <w:t xml:space="preserve"> </w:t>
      </w:r>
      <w:r>
        <w:t xml:space="preserve">The applicant </w:t>
      </w:r>
      <w:r>
        <w:rPr>
          <w:u w:val="single"/>
        </w:rPr>
        <w:t xml:space="preserve">shall submit the following </w:t>
      </w:r>
      <w:r>
        <w:t xml:space="preserve">along with the application </w:t>
      </w:r>
      <w:r>
        <w:t xml:space="preserve">[</w:t>
      </w:r>
      <w:r>
        <w:rPr>
          <w:strike w:val="true"/>
        </w:rPr>
        <w:t xml:space="preserve">shall</w:t>
      </w:r>
      <w:r>
        <w:t xml:space="preserve">]</w:t>
      </w:r>
      <w:r>
        <w:t xml:space="preserve">:</w:t>
      </w:r>
    </w:p>
    <w:p>
      <w:pPr>
        <w:pStyle w:val="kar_paragraph"/>
      </w:pPr>
      <w:r>
        <w:t xml:space="preserve">(a)</w:t>
      </w:r>
      <w:r>
        <w:t xml:space="preserve"> </w:t>
      </w:r>
      <w:r>
        <w:rPr>
          <w:u w:val="single"/>
        </w:rPr>
        <w:t xml:space="preserve">Three</w:t>
      </w:r>
      <w:r>
        <w:t xml:space="preserve">[</w:t>
      </w:r>
      <w:r>
        <w:rPr>
          <w:strike w:val="true"/>
        </w:rPr>
        <w:t xml:space="preserve">Have three</w:t>
      </w:r>
      <w:r>
        <w:t xml:space="preserve">]</w:t>
      </w:r>
      <w:r>
        <w:t xml:space="preserve"> (3) letters of recommendation sent to the board verifying good moral character</w:t>
      </w:r>
      <w:r>
        <w:rPr>
          <w:u w:val="single"/>
        </w:rPr>
        <w:t xml:space="preserve">;</w:t>
      </w:r>
    </w:p>
    <w:p>
      <w:pPr>
        <w:pStyle w:val="kar_paragraph"/>
      </w:pPr>
      <w:r>
        <w:rPr>
          <w:u w:val="single"/>
        </w:rPr>
        <w:t xml:space="preserve">(b)</w:t>
      </w:r>
      <w:r>
        <w:t xml:space="preserve"> </w:t>
      </w:r>
      <w:r>
        <w:rPr>
          <w:u w:val="single"/>
        </w:rPr>
        <w:t xml:space="preserve">National Board of Podiatric Medical Examiner (NBPME) transcript (Parts I, II, and III; or PMLexis) sent directly from the Federation of Podiatric Medical Boards (FPMB);</w:t>
      </w:r>
    </w:p>
    <w:p>
      <w:pPr>
        <w:pStyle w:val="kar_paragraph"/>
      </w:pPr>
      <w:r>
        <w:rPr>
          <w:u w:val="single"/>
        </w:rPr>
        <w:t xml:space="preserve">(c)</w:t>
      </w:r>
      <w:r>
        <w:t xml:space="preserve"> </w:t>
      </w:r>
      <w:r>
        <w:rPr>
          <w:u w:val="single"/>
        </w:rPr>
        <w:t xml:space="preserve">Undergraduate college transcripts and podiatric college transcripts sent directly by the academic institutions to the board;</w:t>
      </w:r>
    </w:p>
    <w:p>
      <w:pPr>
        <w:pStyle w:val="kar_paragraph"/>
      </w:pPr>
      <w:r>
        <w:rPr>
          <w:u w:val="single"/>
        </w:rPr>
        <w:t xml:space="preserve">(d)</w:t>
      </w:r>
      <w:r>
        <w:t xml:space="preserve"> </w:t>
      </w:r>
      <w:r>
        <w:rPr>
          <w:u w:val="single"/>
        </w:rPr>
        <w:t xml:space="preserve">Clinical evaluation from the podiatry school;</w:t>
      </w:r>
    </w:p>
    <w:p>
      <w:pPr>
        <w:pStyle w:val="kar_paragraph"/>
      </w:pPr>
      <w:r>
        <w:rPr>
          <w:u w:val="single"/>
        </w:rPr>
        <w:t xml:space="preserve">(e)</w:t>
      </w:r>
      <w:r>
        <w:t xml:space="preserve"> </w:t>
      </w:r>
      <w:r>
        <w:rPr>
          <w:u w:val="single"/>
        </w:rPr>
        <w:t xml:space="preserve">Residency certificate or letter from director of the residency;</w:t>
      </w:r>
    </w:p>
    <w:p>
      <w:pPr>
        <w:pStyle w:val="kar_paragraph"/>
      </w:pPr>
      <w:r>
        <w:rPr>
          <w:u w:val="single"/>
        </w:rPr>
        <w:t xml:space="preserve">(f)</w:t>
      </w:r>
      <w:r>
        <w:t xml:space="preserve"> </w:t>
      </w:r>
      <w:r>
        <w:rPr>
          <w:u w:val="single"/>
        </w:rPr>
        <w:t xml:space="preserve">National Practitioner Data Base (NPDB) self-query (except new graduates);</w:t>
      </w:r>
    </w:p>
    <w:p>
      <w:pPr>
        <w:pStyle w:val="kar_paragraph"/>
      </w:pPr>
      <w:r>
        <w:rPr>
          <w:u w:val="single"/>
        </w:rPr>
        <w:t xml:space="preserve">(g)</w:t>
      </w:r>
      <w:r>
        <w:t xml:space="preserve"> </w:t>
      </w:r>
      <w:r>
        <w:rPr>
          <w:u w:val="single"/>
        </w:rPr>
        <w:t xml:space="preserve">Proof of completion of 1.5 hours of the KASPER, pain management, or addiction disorders course;</w:t>
      </w:r>
    </w:p>
    <w:p>
      <w:pPr>
        <w:pStyle w:val="kar_paragraph"/>
      </w:pPr>
      <w:r>
        <w:rPr>
          <w:u w:val="single"/>
        </w:rPr>
        <w:t xml:space="preserve">(h)</w:t>
      </w:r>
      <w:r>
        <w:t xml:space="preserve"> </w:t>
      </w:r>
      <w:r>
        <w:rPr>
          <w:u w:val="single"/>
        </w:rPr>
        <w:t xml:space="preserve">Podiatry graduation date;</w:t>
      </w:r>
    </w:p>
    <w:p>
      <w:pPr>
        <w:pStyle w:val="kar_paragraph"/>
      </w:pPr>
      <w:r>
        <w:rPr>
          <w:u w:val="single"/>
        </w:rPr>
        <w:t xml:space="preserve">(i)</w:t>
      </w:r>
      <w:r>
        <w:t xml:space="preserve"> </w:t>
      </w:r>
      <w:r>
        <w:rPr>
          <w:u w:val="single"/>
        </w:rPr>
        <w:t xml:space="preserve">An attestation by the applicant that they are not addicted to drugs or alcohol;</w:t>
      </w:r>
      <w:r>
        <w:t xml:space="preserve">[</w:t>
      </w:r>
      <w:r>
        <w:rPr>
          <w:strike w:val="true"/>
        </w:rPr>
        <w:t xml:space="preserve">and not addicted to alcohol or drugs;</w:t>
      </w:r>
      <w:r>
        <w:t xml:space="preserve">]</w:t>
      </w:r>
    </w:p>
    <w:p>
      <w:pPr>
        <w:pStyle w:val="kar_paragraph"/>
      </w:pPr>
      <w:r>
        <w:rPr>
          <w:u w:val="single"/>
        </w:rPr>
        <w:t xml:space="preserve">(j)</w:t>
      </w:r>
      <w:r>
        <w:t xml:space="preserve"> </w:t>
      </w:r>
      <w:r>
        <w:rPr>
          <w:u w:val="single"/>
        </w:rPr>
        <w:t xml:space="preserve">Verification</w:t>
      </w:r>
      <w:r>
        <w:t xml:space="preserve">[</w:t>
      </w:r>
      <w:r>
        <w:rPr>
          <w:strike w:val="true"/>
        </w:rPr>
        <w:t xml:space="preserve">(b) Have verification</w:t>
      </w:r>
      <w:r>
        <w:t xml:space="preserve">]</w:t>
      </w:r>
      <w:r>
        <w:t xml:space="preserve"> of licensure sent directly from the state or states from which the applicant has or has ever held a license;</w:t>
      </w:r>
    </w:p>
    <w:p>
      <w:pPr>
        <w:pStyle w:val="kar_paragraph"/>
      </w:pPr>
      <w:r>
        <w:rPr>
          <w:u w:val="single"/>
        </w:rPr>
        <w:t xml:space="preserve">(k)</w:t>
      </w:r>
      <w:r>
        <w:t xml:space="preserve"> </w:t>
      </w:r>
      <w:r>
        <w:rPr>
          <w:u w:val="single"/>
        </w:rPr>
        <w:t xml:space="preserve">A</w:t>
      </w:r>
      <w:r>
        <w:t xml:space="preserve">[</w:t>
      </w:r>
      <w:r>
        <w:rPr>
          <w:strike w:val="true"/>
        </w:rPr>
        <w:t xml:space="preserve">(c) Attach a</w:t>
      </w:r>
      <w:r>
        <w:t xml:space="preserve">]</w:t>
      </w:r>
      <w:r>
        <w:t xml:space="preserve"> dated photo taken within the past six (6) months; </w:t>
      </w:r>
      <w:r>
        <w:rPr>
          <w:u w:val="single"/>
        </w:rPr>
        <w:t xml:space="preserve">and</w:t>
      </w:r>
    </w:p>
    <w:p>
      <w:pPr>
        <w:pStyle w:val="kar_paragraph"/>
      </w:pPr>
      <w:r>
        <w:t xml:space="preserve">[</w:t>
      </w:r>
      <w:r>
        <w:rPr>
          <w:strike w:val="true"/>
        </w:rPr>
        <w:t xml:space="preserve">(d)</w:t>
      </w:r>
      <w:r>
        <w:t xml:space="preserve">]</w:t>
      </w:r>
      <w:r>
        <w:t xml:space="preserve"> </w:t>
      </w:r>
      <w:r>
        <w:t xml:space="preserve">[</w:t>
      </w:r>
      <w:r>
        <w:rPr>
          <w:strike w:val="true"/>
        </w:rPr>
        <w:t xml:space="preserve">Have schools, colleges, or institutions send official transcripts directly to the board; and</w:t>
      </w:r>
      <w:r>
        <w:t xml:space="preserve">]</w:t>
      </w:r>
    </w:p>
    <w:p>
      <w:pPr>
        <w:pStyle w:val="kar_paragraph"/>
      </w:pPr>
      <w:r>
        <w:rPr>
          <w:u w:val="single"/>
        </w:rPr>
        <w:t xml:space="preserve">(l)</w:t>
      </w:r>
      <w:r>
        <w:t xml:space="preserve">[</w:t>
      </w:r>
      <w:r>
        <w:rPr>
          <w:strike w:val="true"/>
        </w:rPr>
        <w:t xml:space="preserve">(e)</w:t>
      </w:r>
      <w:r>
        <w:t xml:space="preserve">]</w:t>
      </w:r>
      <w:r>
        <w:t xml:space="preserve"> </w:t>
      </w:r>
      <w:r>
        <w:t xml:space="preserve">Have the Federal Bureau of Investigation background check results sent directly to the board</w:t>
      </w:r>
      <w:r>
        <w:rPr>
          <w:u w:val="single"/>
        </w:rPr>
        <w:t xml:space="preserve">.</w:t>
      </w:r>
    </w:p>
    <w:p>
      <w:pPr>
        <w:pStyle w:val="kar_subsection"/>
      </w:pPr>
      <w:r>
        <w:rPr>
          <w:u w:val="single"/>
        </w:rPr>
        <w:t xml:space="preserve">(5)</w:t>
      </w:r>
      <w:r>
        <w:t xml:space="preserve"> </w:t>
      </w:r>
      <w:r>
        <w:rPr>
          <w:u w:val="single"/>
        </w:rPr>
        <w:t xml:space="preserve">The application shall be notarized.</w:t>
      </w:r>
    </w:p>
    <w:p>
      <w:pPr>
        <w:pStyle w:val="kar_section"/>
      </w:pPr>
      <w:r>
        <w:t xml:space="preserve">Section 3.</w:t>
      </w:r>
      <w:r>
        <w:t xml:space="preserve"> </w:t>
      </w:r>
      <w:r>
        <w:t xml:space="preserve">Prior to approval for licensure, an applicant shall:</w:t>
      </w:r>
    </w:p>
    <w:p>
      <w:pPr>
        <w:pStyle w:val="kar_subsection"/>
      </w:pPr>
      <w:r>
        <w:t xml:space="preserve">(1)</w:t>
      </w:r>
      <w:r>
        <w:t xml:space="preserve"> </w:t>
      </w:r>
      <w:r>
        <w:t xml:space="preserve">Submit to a nation-wide criminal background investigation by means of fingerprint check by the Department of Kentucky State Police and the Federal Bureau of Investigation;</w:t>
      </w:r>
    </w:p>
    <w:p>
      <w:pPr>
        <w:pStyle w:val="kar_subsection"/>
      </w:pPr>
      <w:r>
        <w:t xml:space="preserve">(2)</w:t>
      </w:r>
      <w:r>
        <w:t xml:space="preserve"> </w:t>
      </w:r>
      <w:r>
        <w:t xml:space="preserve">Submit to a query to the National Practitioner Data Bank of the United States Department of Health and Human Services; and</w:t>
      </w:r>
    </w:p>
    <w:p>
      <w:pPr>
        <w:pStyle w:val="kar_subsection"/>
      </w:pPr>
      <w:r>
        <w:t xml:space="preserve">(3)</w:t>
      </w:r>
      <w:r>
        <w:t xml:space="preserve"> </w:t>
      </w:r>
      <w:r>
        <w:t xml:space="preserve">Report to the board, with the </w:t>
      </w:r>
      <w:r>
        <w:rPr>
          <w:u w:val="single"/>
        </w:rPr>
        <w:t xml:space="preserve">application</w:t>
      </w:r>
      <w:r>
        <w:t xml:space="preserve">[</w:t>
      </w:r>
      <w:r>
        <w:rPr>
          <w:strike w:val="true"/>
        </w:rPr>
        <w:t xml:space="preserve">Application for Podiatry License</w:t>
      </w:r>
      <w:r>
        <w:t xml:space="preserve">]</w:t>
      </w:r>
      <w:r>
        <w:t xml:space="preserve">, any conviction or disciplinary action on a license held by the applicant relating to prescribing or dispensing controlled substances.</w:t>
      </w:r>
    </w:p>
    <w:p>
      <w:pPr>
        <w:pStyle w:val="kar_subsection"/>
      </w:pPr>
      <w:r>
        <w:rPr>
          <w:u w:val="single"/>
        </w:rPr>
        <w:t xml:space="preserve">(4)</w:t>
      </w:r>
      <w:r>
        <w:t xml:space="preserve"> </w:t>
      </w:r>
      <w:r>
        <w:rPr>
          <w:u w:val="single"/>
        </w:rPr>
        <w:t xml:space="preserve">Submit proof of successful completion of the jurisprudence examination administered by the board.</w:t>
      </w:r>
    </w:p>
    <w:p>
      <w:pPr>
        <w:pStyle w:val="kar_section"/>
      </w:pPr>
      <w:r>
        <w:rPr>
          <w:u w:val="single"/>
        </w:rPr>
        <w:t xml:space="preserve">Section 4.</w:t>
      </w:r>
      <w:r>
        <w:t xml:space="preserve"> </w:t>
      </w:r>
      <w:r>
        <w:rPr>
          <w:u w:val="single"/>
        </w:rPr>
        <w:t xml:space="preserve">The board may require the personal attendance of the applicant before the board, or one (1) of its members designated for that purpose, to interview the applicant to ascertain the applicant's fitness for licensing in this state.</w:t>
      </w:r>
    </w:p>
    <w:p>
      <w:pPr>
        <w:pStyle w:val="kar_section"/>
      </w:pPr>
      <w:r>
        <w:rPr>
          <w:u w:val="single"/>
        </w:rPr>
        <w:t xml:space="preserve">Section 5.</w:t>
      </w:r>
      <w:r>
        <w:t xml:space="preserve">[</w:t>
      </w:r>
      <w:r>
        <w:rPr>
          <w:strike w:val="true"/>
        </w:rPr>
        <w:t xml:space="preserve">Section 4.</w:t>
      </w:r>
      <w:r>
        <w:t xml:space="preserve">]</w:t>
      </w:r>
      <w:r>
        <w:t xml:space="preserve"> </w:t>
      </w:r>
      <w:r>
        <w:t xml:space="preserve"> </w:t>
      </w:r>
    </w:p>
    <w:p>
      <w:pPr>
        <w:pStyle w:val="kar_subsection"/>
      </w:pPr>
      <w:r>
        <w:t xml:space="preserve">(1)</w:t>
      </w:r>
      <w:r>
        <w:t xml:space="preserve"> </w:t>
      </w:r>
      <w:r>
        <w:t xml:space="preserve">Pursuant to KRS 218A.205(3)(f), an applicant for licensure by the board:</w:t>
      </w:r>
    </w:p>
    <w:p>
      <w:pPr>
        <w:pStyle w:val="kar_paragraph"/>
      </w:pPr>
      <w:r>
        <w:t xml:space="preserve">(a)</w:t>
      </w:r>
      <w:r>
        <w:t xml:space="preserve"> </w:t>
      </w:r>
      <w:r>
        <w:t xml:space="preserve">Convicted after July 20, 2012</w:t>
      </w:r>
      <w:r>
        <w:rPr>
          <w:u w:val="single"/>
        </w:rPr>
        <w:t xml:space="preserve">,</w:t>
      </w:r>
      <w:r>
        <w:t xml:space="preserve"> of any felony offense relating to controlled substances shall be permanently banned from prescribing or dispensing a controlled substance by the board;</w:t>
      </w:r>
    </w:p>
    <w:p>
      <w:pPr>
        <w:pStyle w:val="kar_paragraph"/>
      </w:pPr>
      <w:r>
        <w:t xml:space="preserve">(b)</w:t>
      </w:r>
      <w:r>
        <w:t xml:space="preserve"> </w:t>
      </w:r>
      <w:r>
        <w:t xml:space="preserve">Convicted after July 20, 2012</w:t>
      </w:r>
      <w:r>
        <w:rPr>
          <w:u w:val="single"/>
        </w:rPr>
        <w:t xml:space="preserve">,</w:t>
      </w:r>
      <w:r>
        <w:t xml:space="preserve"> of any misdemeanor offense relating to prescribing or dispensing a controlled substance shall have his or her authority to prescribe controlled substances suspended for at least three (3) months, and shall be further restricted as determined by the board; or</w:t>
      </w:r>
    </w:p>
    <w:p>
      <w:pPr>
        <w:pStyle w:val="kar_paragraph"/>
      </w:pPr>
      <w:r>
        <w:t xml:space="preserve">(c)</w:t>
      </w:r>
      <w:r>
        <w:t xml:space="preserve"> </w:t>
      </w:r>
      <w:r>
        <w:t xml:space="preserve">Who has had any disciplinary limitation placed on an application or license by a licensing board of another state that resulted from improper, inappropriate, or illegal prescribing or dispensing of controlled substances shall be subject to a restriction on the license that is at least as restrictive in time and scope as that placed on the license by the licensing board of the other state.</w:t>
      </w:r>
    </w:p>
    <w:p>
      <w:pPr>
        <w:pStyle w:val="kar_paragraph"/>
      </w:pPr>
      <w:r>
        <w:rPr>
          <w:u w:val="single"/>
        </w:rPr>
        <w:t xml:space="preserve">(d)</w:t>
      </w:r>
      <w:r>
        <w:t xml:space="preserve"> </w:t>
      </w:r>
      <w:r>
        <w:rPr>
          <w:u w:val="single"/>
        </w:rPr>
        <w:t xml:space="preserve">Failure to make the required report to the board of any conviction or disciplinary action covered by this subsection shall be deemed a violation and be subject to sanction as determined by the board.</w:t>
      </w:r>
    </w:p>
    <w:p>
      <w:pPr>
        <w:pStyle w:val="kar_subsection"/>
      </w:pPr>
      <w:r>
        <w:t xml:space="preserve">(2)</w:t>
      </w:r>
      <w:r>
        <w:t xml:space="preserve"> </w:t>
      </w:r>
      <w:r>
        <w:t xml:space="preserve">In addition to the actions listed in subsection (1) of this section, the board may take any other action provided for in KRS 311.480 against a licensee or applicant that comes under the provisions of that subsection.</w:t>
      </w:r>
    </w:p>
    <w:p>
      <w:pPr>
        <w:pStyle w:val="kar_section"/>
      </w:pPr>
      <w:r>
        <w:rPr>
          <w:u w:val="single"/>
        </w:rPr>
        <w:t xml:space="preserve">Section 6.</w:t>
      </w:r>
      <w:r>
        <w:t xml:space="preserve">[</w:t>
      </w:r>
      <w:r>
        <w:rPr>
          <w:strike w:val="true"/>
        </w:rPr>
        <w:t xml:space="preserve">Section 5.</w:t>
      </w:r>
      <w:r>
        <w:t xml:space="preserve">]</w:t>
      </w:r>
      <w:r>
        <w:t xml:space="preserve"> </w:t>
      </w:r>
      <w:r>
        <w:t xml:space="preserve">Requirements for a person issued a license by the board.</w:t>
      </w:r>
    </w:p>
    <w:p>
      <w:pPr>
        <w:pStyle w:val="kar_subsection"/>
      </w:pPr>
      <w:r>
        <w:t xml:space="preserve">(1)</w:t>
      </w:r>
      <w:r>
        <w:t xml:space="preserve"> </w:t>
      </w:r>
      <w:r>
        <w:t xml:space="preserve">A person who has been approved for a license from the board shall register with the Kentucky All-Schedule Prescription Electronic Reporting System (KASPER) administered by the Cabinet for Health and Family Services after issuance of the license and immediately submit proof of the registration to the board.</w:t>
      </w:r>
    </w:p>
    <w:p>
      <w:pPr>
        <w:pStyle w:val="kar_subsection"/>
      </w:pPr>
      <w:r>
        <w:t xml:space="preserve">(2)</w:t>
      </w:r>
      <w:r>
        <w:t xml:space="preserve"> </w:t>
      </w:r>
      <w:r>
        <w:t xml:space="preserve">A person who has received a license from the board shall not prescribe any controlled substance before he or she is registered with KASPER.</w:t>
      </w:r>
    </w:p>
    <w:p>
      <w:pPr>
        <w:pStyle w:val="kar_subsection"/>
      </w:pPr>
      <w:r>
        <w:t xml:space="preserve">(3)</w:t>
      </w:r>
      <w:r>
        <w:t xml:space="preserve"> </w:t>
      </w:r>
      <w:r>
        <w:t xml:space="preserve"> </w:t>
      </w:r>
    </w:p>
    <w:p>
      <w:pPr>
        <w:pStyle w:val="kar_paragraph"/>
      </w:pPr>
      <w:r>
        <w:t xml:space="preserve">(a)</w:t>
      </w:r>
      <w:r>
        <w:t xml:space="preserve"> </w:t>
      </w:r>
      <w:r>
        <w:t xml:space="preserve">The board shall temporarily suspend a license pursuant to 201 KAR 25:051, Section 5, if a licensee:</w:t>
      </w:r>
    </w:p>
    <w:p>
      <w:pPr>
        <w:pStyle w:val="kar_subparagraph"/>
      </w:pPr>
      <w:r>
        <w:t xml:space="preserve">1.</w:t>
      </w:r>
      <w:r>
        <w:t xml:space="preserve"> </w:t>
      </w:r>
      <w:r>
        <w:t xml:space="preserve">Fails to register with KASPER after the approval for licensure by the board; or</w:t>
      </w:r>
    </w:p>
    <w:p>
      <w:pPr>
        <w:pStyle w:val="kar_subparagraph"/>
      </w:pPr>
      <w:r>
        <w:t xml:space="preserve">2.</w:t>
      </w:r>
      <w:r>
        <w:t xml:space="preserve"> </w:t>
      </w:r>
      <w:r>
        <w:t xml:space="preserve">Prescribes a controlled substance prior to registration with KASPER.</w:t>
      </w:r>
    </w:p>
    <w:p>
      <w:pPr>
        <w:pStyle w:val="kar_paragraph"/>
      </w:pPr>
      <w:r>
        <w:t xml:space="preserve">(b)</w:t>
      </w:r>
      <w:r>
        <w:t xml:space="preserve"> </w:t>
      </w:r>
      <w:r>
        <w:t xml:space="preserve">In addition to the temporary suspension, the board may take additional disciplinary action against a license pursuant to KRS 311.480.</w:t>
      </w:r>
    </w:p>
    <w:p>
      <w:pPr>
        <w:pStyle w:val="kar_section"/>
      </w:pPr>
      <w:r>
        <w:rPr>
          <w:u w:val="single"/>
        </w:rPr>
        <w:t xml:space="preserve">Section 7.</w:t>
      </w:r>
      <w:r>
        <w:t xml:space="preserve">[</w:t>
      </w:r>
      <w:r>
        <w:rPr>
          <w:strike w:val="true"/>
        </w:rPr>
        <w:t xml:space="preserve">Section 6.</w:t>
      </w:r>
      <w:r>
        <w:t xml:space="preserve">]</w:t>
      </w:r>
      <w:r>
        <w:t xml:space="preserve"> </w:t>
      </w:r>
      <w:r>
        <w:t xml:space="preserve">Incorporation by Reference.</w:t>
      </w:r>
    </w:p>
    <w:p>
      <w:pPr>
        <w:pStyle w:val="kar_subsection"/>
      </w:pPr>
      <w:r>
        <w:rPr>
          <w:u w:val="single"/>
        </w:rPr>
        <w:t xml:space="preserve">(1)</w:t>
      </w:r>
      <w:r>
        <w:t xml:space="preserve"> </w:t>
      </w:r>
      <w:r>
        <w:rPr>
          <w:u w:val="single"/>
        </w:rPr>
        <w:t xml:space="preserve">The following material is incorporated by reference: </w:t>
      </w:r>
      <w:r>
        <w:t xml:space="preserve">"Application for Podiatry License", </w:t>
      </w:r>
      <w:r>
        <w:rPr>
          <w:u w:val="single"/>
        </w:rPr>
        <w:t xml:space="preserve">Form DPL-BOP-01, Rev. March 2026</w:t>
      </w:r>
      <w:r>
        <w:t xml:space="preserve">[</w:t>
      </w:r>
      <w:r>
        <w:rPr>
          <w:strike w:val="true"/>
        </w:rPr>
        <w:t xml:space="preserve">September 2020</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Kentucky Board of Podiatry, Department of Professional Licensing, 500 Mero Street, Frankfort, Kentucky 40601, Monday through Friday, 8 a.m. to 4:30 p.m. </w:t>
      </w:r>
      <w:r>
        <w:rPr>
          <w:u w:val="single"/>
        </w:rPr>
        <w:t xml:space="preserve">This material is also available on the board's Web site at bop.ky.gov.</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on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Fees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311.420 requires that any person who wishes to practice podiatry in the Commonwealth of Kentucky be licensed to do so. This regulation establishes requirements for making an application for licensure.</w:t>
      </w:r>
    </w:p>
    <w:p>
      <w:pPr>
        <w:pStyle w:val="kar_normal"/>
        <w:ind w:left="576"/>
      </w:pPr>
      <w:r>
        <w:t xml:space="preserve">(b) The necessity of this administrative regulation:</w:t>
      </w:r>
    </w:p>
    <w:p>
      <w:pPr>
        <w:pStyle w:val="kar_normal"/>
        <w:ind w:left="720"/>
      </w:pPr>
      <w:r>
        <w:t xml:space="preserve">This administrative regulation is required by KRS 311.420.</w:t>
      </w:r>
    </w:p>
    <w:p>
      <w:pPr>
        <w:pStyle w:val="kar_normal"/>
        <w:ind w:left="576"/>
      </w:pPr>
      <w:r>
        <w:t xml:space="preserve">(c) How this administrative regulation conforms to the content of the authorizing statutes:</w:t>
      </w:r>
    </w:p>
    <w:p>
      <w:pPr>
        <w:pStyle w:val="kar_normal"/>
        <w:ind w:left="720"/>
      </w:pPr>
      <w:r>
        <w:t xml:space="preserve">KRS 311.420 requires that any person who wishes to practice podiatry in the Commonwealth of Kentucky be licensed to do so. This regulation establishes requirements for making an application for licensure.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in the effective administration of KRS Chapter 311 by carrying out the legislative mandate for the board to establish requirements for licensure.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makes technical corrections due to statutory changes in KRS Chapter 218A; updates the schools or colleges of podiatry that meet the educational requirements in Kentucky; updates the timeframe for filing the application for review at a board meeting and deletes the requirement that the board approve eligibility to take the podiatry examination; strikes language relating to good cause for a partially completed application to be permitted by the president of the board; authorizes payment of the application fee by ACH, if available; specifies all items and information that must be submitted with the application; clarifies that the jurisprudence examination is required for applicants; authorizes the board to require personal attendance of the applicant for an interview, if requested by the board; adds language clarifying that failure to report a conviction or disciplinary action to the board shall be a violation and subject to sanction; and updates the material incorporated by reference.</w:t>
      </w:r>
    </w:p>
    <w:p>
      <w:pPr>
        <w:pStyle w:val="kar_normal"/>
        <w:ind w:left="576"/>
      </w:pPr>
      <w:r>
        <w:t xml:space="preserve">(b) The necessity of the amendment to this administrative regulation:</w:t>
      </w:r>
    </w:p>
    <w:p>
      <w:pPr>
        <w:pStyle w:val="kar_normal"/>
        <w:ind w:left="720"/>
      </w:pPr>
      <w:r>
        <w:t xml:space="preserve">The amendments are necessary to clarify the process already required for full transparency to all applicants, including cleaning up confusing language about the podiatry examination. The board does not administer its own examination but accepts the American Podiatric Medical Licensing Examination (APMLE) and it is not efficient for the board to approve a candidate’s eligibility to take the examination. Clarifications also include the board’s jurisprudence exam requirements, and updating schools and forms.</w:t>
      </w:r>
    </w:p>
    <w:p>
      <w:pPr>
        <w:pStyle w:val="kar_normal"/>
        <w:ind w:left="576"/>
      </w:pPr>
      <w:r>
        <w:t xml:space="preserve">(c) How the amendment conforms to the content of the authorizing statutes:</w:t>
      </w:r>
    </w:p>
    <w:p>
      <w:pPr>
        <w:pStyle w:val="kar_normal"/>
        <w:ind w:left="720"/>
      </w:pPr>
      <w:r>
        <w:t xml:space="preserve">KRS 311.420 requires that any person who wishes to practice podiatry in the Commonwealth of Kentucky be licensed to do so.</w:t>
      </w:r>
    </w:p>
    <w:p>
      <w:pPr>
        <w:pStyle w:val="kar_normal"/>
        <w:ind w:left="576"/>
      </w:pPr>
      <w:r>
        <w:t xml:space="preserve">(d) How the amendment will assist in the effective administration of the statutes:</w:t>
      </w:r>
    </w:p>
    <w:p>
      <w:pPr>
        <w:pStyle w:val="kar_normal"/>
        <w:ind w:left="720"/>
      </w:pPr>
      <w:r>
        <w:t xml:space="preserve">These amendments will assist in the effective administration of KRS Chapter 311 by carrying out the legislative mandate for the board to establish requirements for licensure and by clarifying the process to do so.</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an unknown number of potential applicants for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of the applicants must meet the standards for licensure, complete the application, and submit the fee with all required documentation, including the FBI criminal background check, and take the jurisprudence exam. Applicants may be required to submit to an interview and report any conviction or disciplinary action to the board.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It will cost each applicant a $300 application fee, which is the same amount that was required before the amendment.</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the applicants will have better understanding of all the requirements for applying for licensure in Kentucky.</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does not create a cost for the administrative body.</w:t>
      </w:r>
    </w:p>
    <w:p>
      <w:pPr>
        <w:pStyle w:val="kar_normal"/>
        <w:ind w:left="576"/>
      </w:pPr>
      <w:r>
        <w:t xml:space="preserve">(b) On a continuing basis:</w:t>
      </w:r>
    </w:p>
    <w:p>
      <w:pPr>
        <w:pStyle w:val="kar_normal"/>
        <w:ind w:left="720"/>
      </w:pPr>
      <w:r>
        <w:t xml:space="preserve">This administrative regulation does not create a cost for the administrative body.</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are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 but particularly KRS 311.420.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786bb4c9e474d67" /><Relationship Type="http://schemas.openxmlformats.org/officeDocument/2006/relationships/settings" Target="/word/settings.xml" Id="R78c39837987f4395" /></Relationships>
</file>