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3f4dfe6c6f249c1" /></Relationships>
</file>

<file path=word/document.xml><?xml version="1.0" encoding="utf-8"?>
<w:document xmlns:w="http://schemas.openxmlformats.org/wordprocessingml/2006/main">
  <w:body>
    <w:p>
      <w:pPr>
        <w:pStyle w:val="kar_citation"/>
      </w:pPr>
      <w:r>
        <w:t>201 KAR 9:088.</w:t>
      </w:r>
      <w:r>
        <w:t xml:space="preserve"> </w:t>
      </w:r>
      <w:r>
        <w:t xml:space="preserve">Determination of Eligibility (for those convicted of a crime).</w:t>
      </w:r>
    </w:p>
    <w:p>
      <w:pPr>
        <w:pStyle w:val="kar_markup_metadata"/>
      </w:pPr>
      <w:r>
        <w:t xml:space="preserve">RELATES TO: </w:t>
      </w:r>
      <w:r>
        <w:t xml:space="preserve">KRS Chapter 13B, Chapter 335B, KRS 311.595(4), 311.850(1)(c), 311.909(1)(c), 311.890(1)(a) and (b), 311.684(1)(i)(3) and (4), 311.700(1)(c)</w:t>
      </w:r>
    </w:p>
    <w:p>
      <w:pPr>
        <w:pStyle w:val="kar_markup_metadata"/>
      </w:pPr>
      <w:r>
        <w:t xml:space="preserve">STATUTORY AUTHORITY: </w:t>
      </w:r>
      <w:r>
        <w:t xml:space="preserve">KRS 311.595(4), 311.850(1)(c), 311.909(1)(c), 311.890(1)(a) and (b), 311.684(1)(i)(3) and (4), 311.700(1)(c), 335B.030</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311.595(4), 311.850(1)(c), 311.909(1)(c), 311.890(1)(a) and (b), 311.684(1)(i)(3) and (4), and 311.700(1)(c) provide that the Kentucky Board of Medical Licensure may deny a license or certificate to practice medicine, osteopathy, as a physician assistant, as an athletic trainer, as a surgical assistant, acupuncture, or as a genetic counselor, upon proof that the applicant has been convicted of any felony or a misdemeanor, in accordance with KRS Chapter 335B. KRS 335B.020 requires that the board implement a process by which an individual, who has been convicted of a crime, may obtain a determination regarding whether the conviction would disqualify the individual from professional licensure before the individual pursues any training or specialized education that is required for the practice of the profession. This administrative regulation establishes procedures for the determination of licensure/certificate eligibility for prospective applicants with a history of criminal conviction.</w:t>
      </w:r>
    </w:p>
    <w:p>
      <w:pPr>
        <w:pStyle w:val="kar_section"/>
      </w:pPr>
      <w:r>
        <w:t xml:space="preserve">Section 1.</w:t>
      </w:r>
      <w:r>
        <w:t xml:space="preserve"> </w:t>
      </w:r>
      <w:r>
        <w:t xml:space="preserve">Application:</w:t>
      </w:r>
    </w:p>
    <w:p>
      <w:pPr>
        <w:pStyle w:val="kar_subsection"/>
      </w:pPr>
      <w:r>
        <w:t xml:space="preserve">(1)</w:t>
      </w:r>
      <w:r>
        <w:t xml:space="preserve"> </w:t>
      </w:r>
      <w:r>
        <w:t xml:space="preserve">Prior to pursuing any training or specialized education that is required to practice as a medical or osteopathic physician, physician assistant, athletic trainer, surgical assistant, acupuncturist or genetic counselor in the Commonwealth of Kentucky, an individual who has previously been convicted of a crime may request a determination regarding whether the prior conviction alone would disqualify the individual from obtaining a license from the board to practice as a medical or osteopathic physician, physician assistant, athletic trainer, surgical assistant, acupuncturist or genetic counselor.</w:t>
      </w:r>
    </w:p>
    <w:p>
      <w:pPr>
        <w:pStyle w:val="kar_subsection"/>
      </w:pPr>
      <w:r>
        <w:t xml:space="preserve">(2)</w:t>
      </w:r>
      <w:r>
        <w:t xml:space="preserve"> </w:t>
      </w:r>
      <w:r>
        <w:t xml:space="preserve">To be considered for determination of eligibility, an applicant shall submit:</w:t>
      </w:r>
    </w:p>
    <w:p>
      <w:pPr>
        <w:pStyle w:val="kar_paragraph"/>
      </w:pPr>
      <w:r>
        <w:t xml:space="preserve">(a)</w:t>
      </w:r>
      <w:r>
        <w:t xml:space="preserve"> </w:t>
      </w:r>
      <w:r>
        <w:t xml:space="preserve">A completed and signed "Determination Application";</w:t>
      </w:r>
    </w:p>
    <w:p>
      <w:pPr>
        <w:pStyle w:val="kar_paragraph"/>
      </w:pPr>
      <w:r>
        <w:t xml:space="preserve">(b)</w:t>
      </w:r>
      <w:r>
        <w:t xml:space="preserve"> </w:t>
      </w:r>
      <w:r>
        <w:t xml:space="preserve">Copies of the following from the underlying criminal case proceedings, if applicable:</w:t>
      </w:r>
    </w:p>
    <w:p>
      <w:pPr>
        <w:pStyle w:val="kar_subparagraph"/>
      </w:pPr>
      <w:r>
        <w:t xml:space="preserve">1.</w:t>
      </w:r>
      <w:r>
        <w:t xml:space="preserve"> </w:t>
      </w:r>
      <w:r>
        <w:t xml:space="preserve">Original Indictment, Information or other document which set forth the charges for which the applicant was convicted or entered a plea of guilty or nolo contendere, and any amended charging document;</w:t>
      </w:r>
    </w:p>
    <w:p>
      <w:pPr>
        <w:pStyle w:val="kar_subparagraph"/>
      </w:pPr>
      <w:r>
        <w:t xml:space="preserve">2.</w:t>
      </w:r>
      <w:r>
        <w:t xml:space="preserve"> </w:t>
      </w:r>
      <w:r>
        <w:t xml:space="preserve">Judgment or Plea Agreement;</w:t>
      </w:r>
    </w:p>
    <w:p>
      <w:pPr>
        <w:pStyle w:val="kar_subparagraph"/>
      </w:pPr>
      <w:r>
        <w:t xml:space="preserve">3.</w:t>
      </w:r>
      <w:r>
        <w:t xml:space="preserve"> </w:t>
      </w:r>
      <w:r>
        <w:t xml:space="preserve">Sentencing memoranda, if applicable; and</w:t>
      </w:r>
    </w:p>
    <w:p>
      <w:pPr>
        <w:pStyle w:val="kar_subparagraph"/>
      </w:pPr>
      <w:r>
        <w:t xml:space="preserve">4.</w:t>
      </w:r>
      <w:r>
        <w:t xml:space="preserve"> </w:t>
      </w:r>
      <w:r>
        <w:t xml:space="preserve">Any orders releasing the applicant from custody, probation or diversion; and</w:t>
      </w:r>
    </w:p>
    <w:p>
      <w:pPr>
        <w:pStyle w:val="kar_paragraph"/>
      </w:pPr>
      <w:r>
        <w:t xml:space="preserve">(c)</w:t>
      </w:r>
      <w:r>
        <w:t xml:space="preserve"> </w:t>
      </w:r>
      <w:r>
        <w:t xml:space="preserve">Payment of a fee of $50.00.</w:t>
      </w:r>
    </w:p>
    <w:p>
      <w:pPr>
        <w:pStyle w:val="kar_subsection"/>
      </w:pPr>
      <w:r>
        <w:t xml:space="preserve">(3)</w:t>
      </w:r>
      <w:r>
        <w:t xml:space="preserve"> </w:t>
      </w:r>
      <w:r>
        <w:t xml:space="preserve">The applicant may submit with the application evidence of rehabilitation in accordance with KRS 335B.020(2).</w:t>
      </w:r>
    </w:p>
    <w:p>
      <w:pPr>
        <w:pStyle w:val="kar_section"/>
      </w:pPr>
      <w:r>
        <w:t xml:space="preserve">Section 2.</w:t>
      </w:r>
      <w:r>
        <w:t xml:space="preserve"> </w:t>
      </w:r>
      <w:r>
        <w:t xml:space="preserve">Hearing on determination of eligibility.</w:t>
      </w:r>
    </w:p>
    <w:p>
      <w:pPr>
        <w:pStyle w:val="kar_subsection"/>
      </w:pPr>
      <w:r>
        <w:t xml:space="preserve">(1)</w:t>
      </w:r>
      <w:r>
        <w:t xml:space="preserve"> </w:t>
      </w:r>
      <w:r>
        <w:t xml:space="preserve">Upon receipt of a determination application, the Board's staff shall place the application on the agenda of the next regularly scheduled Board meeting. Applications submitted less than thirty (30) days before a regularly scheduled Board meeting shall pass to the following meeting agenda.</w:t>
      </w:r>
    </w:p>
    <w:p>
      <w:pPr>
        <w:pStyle w:val="kar_subsection"/>
      </w:pPr>
      <w:r>
        <w:t xml:space="preserve">(2)</w:t>
      </w:r>
      <w:r>
        <w:t xml:space="preserve"> </w:t>
      </w:r>
      <w:r>
        <w:t xml:space="preserve">A notice of the Board meeting shall be sent to the applicant via email and USPS regular mail to the last known mailing and email address of the applicant no less than twenty (20) days prior to the regularly scheduled Board meeting.</w:t>
      </w:r>
    </w:p>
    <w:p>
      <w:pPr>
        <w:pStyle w:val="kar_subsection"/>
      </w:pPr>
      <w:r>
        <w:t xml:space="preserve">(3)</w:t>
      </w:r>
      <w:r>
        <w:t xml:space="preserve"> </w:t>
      </w:r>
      <w:r>
        <w:t xml:space="preserve">The applicant may appear in-person before the Board at the Board meeting. If the applicant appears in-person, he or she shall be given an opportunity to be heard on the application.</w:t>
      </w:r>
    </w:p>
    <w:p>
      <w:pPr>
        <w:pStyle w:val="kar_section"/>
      </w:pPr>
      <w:r>
        <w:t xml:space="preserve">Section 3.</w:t>
      </w:r>
      <w:r>
        <w:t xml:space="preserve"> </w:t>
      </w:r>
      <w:r>
        <w:t xml:space="preserve">Written Determination.</w:t>
      </w:r>
    </w:p>
    <w:p>
      <w:pPr>
        <w:pStyle w:val="kar_subsection"/>
      </w:pPr>
      <w:r>
        <w:t xml:space="preserve">(1)</w:t>
      </w:r>
      <w:r>
        <w:t xml:space="preserve"> </w:t>
      </w:r>
      <w:r>
        <w:t xml:space="preserve">Within fourteen (14) days of the Board meeting at which the applicant's determination application was considered, the Board shall render a written determination of eligibility or ineligibility to the applicant.</w:t>
      </w:r>
    </w:p>
    <w:p>
      <w:pPr>
        <w:pStyle w:val="kar_subsection"/>
      </w:pPr>
      <w:r>
        <w:t xml:space="preserve">(2)</w:t>
      </w:r>
      <w:r>
        <w:t xml:space="preserve"> </w:t>
      </w:r>
      <w:r>
        <w:t xml:space="preserve">The written determination shall be sent to the applicant via email and USPS regular mail to the last known mailing and email address of the applicant.</w:t>
      </w:r>
    </w:p>
    <w:p>
      <w:pPr>
        <w:pStyle w:val="kar_subsection"/>
      </w:pPr>
      <w:r>
        <w:t xml:space="preserve">(3)</w:t>
      </w:r>
      <w:r>
        <w:t xml:space="preserve"> </w:t>
      </w:r>
      <w:r>
        <w:t xml:space="preserve">If the Board has determined that prior conviction renders the individual ineligible for professional licensure, the written determination shall:</w:t>
      </w:r>
    </w:p>
    <w:p>
      <w:pPr>
        <w:pStyle w:val="kar_paragraph"/>
      </w:pPr>
      <w:r>
        <w:t xml:space="preserve">(a)</w:t>
      </w:r>
      <w:r>
        <w:t xml:space="preserve"> </w:t>
      </w:r>
      <w:r>
        <w:t xml:space="preserve">Inform the applicant of the specific reasons for the determination in accordance with KRS 335B.030(1);</w:t>
      </w:r>
    </w:p>
    <w:p>
      <w:pPr>
        <w:pStyle w:val="kar_paragraph"/>
      </w:pPr>
      <w:r>
        <w:t xml:space="preserve">(b)</w:t>
      </w:r>
      <w:r>
        <w:t xml:space="preserve"> </w:t>
      </w:r>
      <w:r>
        <w:t xml:space="preserve">If and when the individual may resubmit a determination application; and</w:t>
      </w:r>
    </w:p>
    <w:p>
      <w:pPr>
        <w:pStyle w:val="kar_paragraph"/>
      </w:pPr>
      <w:r>
        <w:t xml:space="preserve">(c)</w:t>
      </w:r>
      <w:r>
        <w:t xml:space="preserve"> </w:t>
      </w:r>
      <w:r>
        <w:t xml:space="preserve">Provide notice that, within ten (10) working days after service of the written determination, the applicant may appeal the determination of ineligibility by requesting, in writing, a KRS Chapter 13B administrative hearing pursuant to KRS 335B.030(1)(a)(2) and stating the basis of the appeal.</w:t>
      </w:r>
    </w:p>
    <w:p>
      <w:pPr>
        <w:pStyle w:val="kar_subsection"/>
      </w:pPr>
      <w:r>
        <w:t xml:space="preserve">(4)</w:t>
      </w:r>
      <w:r>
        <w:t xml:space="preserve"> </w:t>
      </w:r>
      <w:r>
        <w:t xml:space="preserve">If a hearing is not timely requested in accordance with KRS 13B.050(1)(a)(2), the written determination shall become final.</w:t>
      </w:r>
    </w:p>
    <w:p>
      <w:pPr>
        <w:pStyle w:val="kar_section"/>
      </w:pPr>
      <w:r>
        <w:t xml:space="preserve">Section 4.</w:t>
      </w:r>
      <w:r>
        <w:t xml:space="preserve"> </w:t>
      </w:r>
      <w:r>
        <w:t xml:space="preserve">Appeal hearing and final order.</w:t>
      </w:r>
    </w:p>
    <w:p>
      <w:pPr>
        <w:pStyle w:val="kar_subsection"/>
      </w:pPr>
      <w:r>
        <w:t xml:space="preserve">(1)</w:t>
      </w:r>
      <w:r>
        <w:t xml:space="preserve"> </w:t>
      </w:r>
      <w:r>
        <w:t xml:space="preserve">If a written request for hearing is timely submitted, the board shall assign the matter to a hearing officer and issue a notice of hearing in accordance with KRS 13B.050(1).</w:t>
      </w:r>
    </w:p>
    <w:p>
      <w:pPr>
        <w:pStyle w:val="kar_subsection"/>
      </w:pPr>
      <w:r>
        <w:t xml:space="preserve">(2)</w:t>
      </w:r>
      <w:r>
        <w:t xml:space="preserve"> </w:t>
      </w:r>
      <w:r>
        <w:t xml:space="preserve">Following a hearing, the hearing officer shall render findings of fact, conclusions of law and a recommended order in accordance with KRS Chapter 13B. The board shall render the final order in accordance with KRS 13B.120.</w:t>
      </w:r>
    </w:p>
    <w:p>
      <w:pPr>
        <w:pStyle w:val="kar_subsection"/>
      </w:pPr>
      <w:r>
        <w:t xml:space="preserve">(3)</w:t>
      </w:r>
      <w:r>
        <w:t xml:space="preserve"> </w:t>
      </w:r>
      <w:r>
        <w:t xml:space="preserve">If the final order is adverse to an applicant, the board may impose hearing costs upon the applicant pursuant to KRS 311.565(1)(v).</w:t>
      </w:r>
    </w:p>
    <w:p>
      <w:pPr>
        <w:pStyle w:val="kar_section"/>
      </w:pPr>
      <w:r>
        <w:t xml:space="preserve">Section 5.</w:t>
      </w:r>
      <w:r>
        <w:t xml:space="preserve"> </w:t>
      </w:r>
      <w:r>
        <w:t xml:space="preserve">Incorporation by Reference.</w:t>
      </w:r>
    </w:p>
    <w:p>
      <w:pPr>
        <w:pStyle w:val="kar_subsection"/>
      </w:pPr>
      <w:r>
        <w:t xml:space="preserve">(1)</w:t>
      </w:r>
      <w:r>
        <w:t xml:space="preserve"> </w:t>
      </w:r>
      <w:r>
        <w:t xml:space="preserve">"Application for Determination", 092026, is incorporated by reference.</w:t>
      </w:r>
    </w:p>
    <w:p>
      <w:pPr>
        <w:pStyle w:val="kar_subsection"/>
      </w:pPr>
      <w:r>
        <w:t xml:space="preserve">(2)</w:t>
      </w:r>
      <w:r>
        <w:t xml:space="preserve"> </w:t>
      </w:r>
      <w:r>
        <w:t xml:space="preserve">This material may be inspected, copied, or obtained, subject to applicable copyright law, at the Kentucky Board of Medical Licensure, 310 Whittington Parkway, Suite 1B, Louisville, Kentucky 40222, Monday through Friday, 8:00 a.m. to 4:30 p.m.</w:t>
      </w:r>
    </w:p>
    <w:p>
      <w:pPr>
        <w:pStyle w:val="kar_subsection"/>
        <w:sectPr>
          <w:pgSz w:w="12240" w:h="15840" w:orient="portrait" w:code="1"/>
          <w:pgMar w:top="1080" w:right="1080" w:bottom="1080" w:left="1080" w:header="720" w:footer="720" w:gutter="0"/>
          <w:paperSrc w:first="263" w:other="263"/>
          <w:noEndnote/>
          <w:docGrid w:linePitch="218"/>
        </w:sectPr>
      </w:pPr>
      <w:r>
        <w:t xml:space="preserve">(3)</w:t>
      </w:r>
      <w:r>
        <w:t xml:space="preserve"> </w:t>
      </w:r>
      <w:r>
        <w:t xml:space="preserve">This material may also be obtained on the board's Web site at kbml.ky.gov.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adb674bfa1c84aae" /><Relationship Type="http://schemas.openxmlformats.org/officeDocument/2006/relationships/settings" Target="/word/settings.xml" Id="R4c074ddcf55b4be4" /></Relationships>
</file>