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3aebdcc4ee434d" /></Relationships>
</file>

<file path=word/document.xml><?xml version="1.0" encoding="utf-8"?>
<w:document xmlns:w="http://schemas.openxmlformats.org/wordprocessingml/2006/main">
  <w:body>
    <w:p>
      <w:pPr>
        <w:pStyle w:val="kar_citation"/>
      </w:pPr>
      <w:r>
        <w:t>201 KAR 9:082.</w:t>
      </w:r>
      <w:r>
        <w:t xml:space="preserve"> </w:t>
      </w:r>
      <w:r>
        <w:t xml:space="preserve">Informal proceedings.</w:t>
      </w:r>
    </w:p>
    <w:p>
      <w:pPr>
        <w:pStyle w:val="kar_markup_metadata"/>
      </w:pPr>
      <w:r>
        <w:t xml:space="preserve">RELATES TO: </w:t>
      </w:r>
      <w:r>
        <w:t xml:space="preserve">KRS 311.530-311.620,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rules regarding the institution of informal proceedings pursuant to KRS 311.591(10).</w:t>
      </w:r>
    </w:p>
    <w:p>
      <w:pPr>
        <w:pStyle w:val="kar_section"/>
      </w:pPr>
      <w:r>
        <w:t xml:space="preserve">Section 1.</w:t>
      </w:r>
      <w:r>
        <w:t xml:space="preserve"> </w:t>
      </w:r>
      <w:r>
        <w:t xml:space="preserve">Commencement of Informal Proceedings. At any time after the authorized issuance of a complaint or the issuance of a show cause order, the responding physician may seek an informal dispensation of any matter upon signing a waiver that states that the physician waives his or her right to raise any constitutional, statutory or common law objection should the board reject the informal proposal or if informal proceedings are curtailed by the general counsel. The general counsel shall have complete discretion to negotiate with the responding physician concerning stipulations of fact, conclusions of law and proposed discipline. The general counsel shall also have discretion to reject any or all offers of informal dispensation and may commence informal proceedings on his or her own initiative.</w:t>
      </w:r>
    </w:p>
    <w:p>
      <w:pPr>
        <w:pStyle w:val="kar_section"/>
      </w:pPr>
      <w:r>
        <w:t xml:space="preserve">Section 2.</w:t>
      </w:r>
      <w:r>
        <w:t xml:space="preserve"> </w:t>
      </w:r>
      <w:r>
        <w:t xml:space="preserve">Presentation of Proposal to Board. Whenever the general counsel believes that an appropriate informal dispensation has been negotiated, he or she shall cause to be presented to the board the responding physician's signed waiver and stipulations of fact, conclusions of law and a proposed order of informal dispensation signed by the responding physician and the general counsel. The documents shall include a line for the signature of an officer of the board and shall become effective upon being accepted by the board, signed by an officer and filed of record.</w:t>
      </w:r>
    </w:p>
    <w:p>
      <w:pPr>
        <w:pStyle w:val="kar_section"/>
      </w:pPr>
      <w:r>
        <w:t xml:space="preserve">Section 3.</w:t>
      </w:r>
      <w:r>
        <w:t xml:space="preserve"> </w:t>
      </w:r>
      <w:r>
        <w:t xml:space="preserve">Effect of Rejection. If the board rejects an offer of informal dispensation, the matter shall continue to proceed as a formal proceeding, provided, however, that further informal negotiations may be conducted and subsequent offers of informal dispensation presented to the board. Rejection shall not be taken as a finding or determination of any kind on behalf of the board and no orders or other pleadings shall be filed of record in regard to any rejected proposal.</w:t>
      </w:r>
    </w:p>
    <w:p>
      <w:pPr>
        <w:pStyle w:val="kar_section"/>
      </w:pPr>
      <w:r>
        <w:t xml:space="preserve">Section 4.</w:t>
      </w:r>
      <w:r>
        <w:t xml:space="preserve"> </w:t>
      </w:r>
      <w:r>
        <w:t xml:space="preserve">Oral or Written Presentation. The board may allow oral or written presentation before the board in regard to any offer of informal dispensation. Oral presentations shall not be recorded and written presentations shall not be filed of record or included in the board's minutes. All oral and written presentations shall be heard and considered in closed session.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009:082. 11 Ky.R. 320; eff. 10-9-1984; Crt eff. 12-20-2018; Crt eff. 10-24-2025.)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82ad2faa484f53" /><Relationship Type="http://schemas.openxmlformats.org/officeDocument/2006/relationships/settings" Target="/word/settings.xml" Id="R280c4b0a57f944c9" /></Relationships>
</file>