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70f81f5e84d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9:084.</w:t>
      </w:r>
      <w:r>
        <w:t xml:space="preserve"> </w:t>
      </w:r>
      <w:r>
        <w:t xml:space="preserve">Fee schedule regarding physician assistants.</w:t>
      </w:r>
    </w:p>
    <w:p>
      <w:pPr>
        <w:pStyle w:val="kar_markup_metadata"/>
      </w:pPr>
      <w:r>
        <w:t xml:space="preserve">RELATES TO: </w:t>
      </w:r>
      <w:r>
        <w:t xml:space="preserve">KRS 311.565(1)(u), 311.842(2)(b), 311.844(1)(a), (3), 311.854(2)</w:t>
      </w:r>
    </w:p>
    <w:p>
      <w:pPr>
        <w:pStyle w:val="kar_markup_metadata"/>
      </w:pPr>
      <w:r>
        <w:t xml:space="preserve">STATUTORY AUTHORITY: </w:t>
      </w:r>
      <w:r>
        <w:t xml:space="preserve">KRS 311.842(1), (2)(e)</w:t>
      </w:r>
    </w:p>
    <w:p>
      <w:pPr>
        <w:pStyle w:val="kar_markup_metadata"/>
      </w:pPr>
      <w:r>
        <w:t xml:space="preserve">NECESSITY, FUNCTION, AND CONFORMITY: </w:t>
      </w:r>
      <w:r>
        <w:t xml:space="preserve">KRS 311.565(1)(u) authorizes the board to prescribe and collect reasonable fees and charges for the issuance or renewal of a license or permit. KRS 311.842(1) authorizes the board to promulgate administrative regulations relating to the licensing and regulation of physician assistants. This administrative regulation establishes a schedule of fees for relating to physician assistants.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Fee Schedule. The board shall charge the following fees: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Application for a license, $100.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Application for a temporary license, fifty (50) dollars.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Conversion from a temporary license to a license, fifty (50) dollars.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Fee for biennial renewal of license, $150.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Penalty fee for late renewal of license, fifty (50) dollars.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Issuance of a duplicate license certificate, ten (10) dollars.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Application by a physician for approval to employ a physician assistant, $100.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Application to transfer the responsibility of the supervising physician to an approved supervising physician agent, fifty (50) dollars.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Fee for emergency permit, fifteen (15) dollars.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Fee for supervising physician of physician assistant holding an emergency permit, fifteen (15) dollars.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Fee for activation of an inactive license, $150.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(201 KAR 009:0843. 13 Ky.R. 808; eff. 11-11-1986; 20 Ky.R. 1661; eff. 3-14-1994; 21 Ky.R. 476; 1028; eff. 9-21-1994; 25 Ky.R. 2422; 26 Ky.R. 370; eff. 8-16-1999; 33 Ky.R. 1430; 1794; eff. 2-2-2007; Crt eff. 9-28-2018; Crt eff. 9-10-2025.)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fb6851f4a1409b" /><Relationship Type="http://schemas.openxmlformats.org/officeDocument/2006/relationships/settings" Target="/word/settings.xml" Id="Rbe03aa1c0dca4849" /></Relationships>
</file>