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9c2ef52bb6e4472"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36:100E.</w:t>
      </w:r>
    </w:p>
    <w:p>
      <w:pPr>
        <w:pStyle w:val="kar_normal"/>
      </w:pPr>
      <w:r>
        <w:t xml:space="preserve">Pursuant to KRS 13A.190(1)(a)3. and KRS 335.560 SECTION 16.B.1, this emergency amendment to the administrative regulation is being promulgated to comply with the statutory requirements of the Board of Licensed Professional Counselors to review any rule adopted by the Counseling Compact pursuant to SECTION 11 of KRS 335.560 within sixty (60) days of adoption for the purpose of filing the rule as an emergency administrative regulation pursuant to KRS 13A.190 and for filing the rule as an accompanying ordinary administrative regulation pursuant to KRS Chapter 13A. This emergency amendment incorporates by reference the rules adopted by the Counseling Compact. KRS 335.560 Section 16.B.1. requires that this emergency amendment be promulgated, and therefore the filing of an ordinary amendment alone is not sufficient. This emergency amended administrative regulation will be replaced by an ordinary amended administrative regulation. The ordinary amendment filed with this emergency amendment is identical.</w:t>
      </w:r>
    </w:p>
    <w:p>
      <w:pPr>
        <w:pStyle w:val="kar_emergency_signature"/>
      </w:pPr>
      <w:r>
        <w:t xml:space="preserve">DR. HANNAH COYT, Board Chair</w:t>
      </w:r>
    </w:p>
    <w:p>
      <w:pPr>
        <w:pStyle w:val="kar_emergency_signature"/>
      </w:pPr>
      <w:r>
        <w:t xml:space="preserve">ANDY BESHEAR, Governor</w:t>
      </w:r>
    </w:p>
    <w:p>
      <w:pPr>
        <w:pStyle w:val="kar_citation"/>
      </w:pPr>
      <w:r>
        <w:t>201 KAR 36:100E.</w:t>
      </w:r>
      <w:r>
        <w:t xml:space="preserve"> </w:t>
      </w:r>
      <w:r>
        <w:t xml:space="preserve">Counseling compact.</w:t>
      </w:r>
    </w:p>
    <w:p>
      <w:pPr>
        <w:pStyle w:val="kar_markup_metadata"/>
      </w:pPr>
      <w:r>
        <w:t xml:space="preserve">EFFECTIVE: October 29, 2026</w:t>
      </w:r>
    </w:p>
    <w:p>
      <w:pPr>
        <w:pStyle w:val="kar_markup_metadata"/>
      </w:pPr>
      <w:r>
        <w:t xml:space="preserve">RELATES TO: </w:t>
      </w:r>
      <w:r>
        <w:t xml:space="preserve">KRS 335.560</w:t>
      </w:r>
    </w:p>
    <w:p>
      <w:pPr>
        <w:pStyle w:val="kar_markup_metadata"/>
      </w:pPr>
      <w:r>
        <w:t xml:space="preserve">STATUTORY AUTHORITY: </w:t>
      </w:r>
      <w:r>
        <w:t xml:space="preserve">KRS 335.515, 335.560</w:t>
      </w:r>
    </w:p>
    <w:p>
      <w:pPr>
        <w:pStyle w:val="kar_markup_metadata"/>
      </w:pPr>
      <w:r>
        <w:t xml:space="preserve">NECESSITY, FUNCTION, AND CONFORMITY: </w:t>
      </w:r>
      <w:r>
        <w:t xml:space="preserve">KRS 335.560, Section 16.B.1. requires the Board of Licensed Professional Counselors to review any rule adopted by the Counseling Compact pursuant to Section 11 of KRS 335.560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Counseling Compact.</w:t>
      </w:r>
    </w:p>
    <w:p>
      <w:pPr>
        <w:pStyle w:val="kar_section"/>
      </w:pPr>
      <w:r>
        <w:t xml:space="preserve">Section 1.</w:t>
      </w:r>
      <w:r>
        <w:t xml:space="preserve"> </w:t>
      </w:r>
      <w:r>
        <w:t xml:space="preserve">The Board of Licensed Professional Counselors shall comply with all rules of the Counseling Compact, which includes the Counseling Compact Rules as of October 2, 2026.</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following material is incorporated by reference: "The Counseling Compact Rules", October 2, 2026, and as revised.</w:t>
      </w:r>
    </w:p>
    <w:p>
      <w:pPr>
        <w:pStyle w:val="kar_paragraph"/>
      </w:pPr>
      <w:r>
        <w:t xml:space="preserve">(a)</w:t>
      </w:r>
      <w:r>
        <w:t xml:space="preserve"> </w:t>
      </w:r>
      <w:r>
        <w:t xml:space="preserve">Chapter 2 – Definitions, adopted October 25, 2023;</w:t>
      </w:r>
    </w:p>
    <w:p>
      <w:pPr>
        <w:pStyle w:val="kar_paragraph"/>
      </w:pPr>
      <w:r>
        <w:t xml:space="preserve">(b)</w:t>
      </w:r>
      <w:r>
        <w:t xml:space="preserve"> </w:t>
      </w:r>
      <w:r>
        <w:t xml:space="preserve">Chapter 3 – Examination Requirements, adopted October 25, 2023;</w:t>
      </w:r>
    </w:p>
    <w:p>
      <w:pPr>
        <w:pStyle w:val="kar_paragraph"/>
      </w:pPr>
      <w:r>
        <w:t xml:space="preserve">(c)</w:t>
      </w:r>
      <w:r>
        <w:t xml:space="preserve"> </w:t>
      </w:r>
      <w:r>
        <w:t xml:space="preserve">Chapter 4 – Data System Reporting Requirements, adopted January 10, 2024, and amended October 14, 2025;</w:t>
      </w:r>
    </w:p>
    <w:p>
      <w:pPr>
        <w:pStyle w:val="kar_paragraph"/>
      </w:pPr>
      <w:r>
        <w:t xml:space="preserve">(d)</w:t>
      </w:r>
      <w:r>
        <w:t xml:space="preserve"> </w:t>
      </w:r>
      <w:r>
        <w:t xml:space="preserve">Chapter 5 – Rulemaking on Legacy Eligibility for Privilege to Practice, adopted October 8, 2024;</w:t>
      </w:r>
    </w:p>
    <w:p>
      <w:pPr>
        <w:pStyle w:val="kar_paragraph"/>
      </w:pPr>
      <w:r>
        <w:t xml:space="preserve">(e)</w:t>
      </w:r>
      <w:r>
        <w:t xml:space="preserve"> </w:t>
      </w:r>
      <w:r>
        <w:t xml:space="preserve">Chapter 6 – Rulemaking on Implementing Criminal Background Checks, adopted October 8, 2024; </w:t>
      </w:r>
    </w:p>
    <w:p>
      <w:pPr>
        <w:pStyle w:val="kar_paragraph"/>
      </w:pPr>
      <w:r>
        <w:t xml:space="preserve">(f)</w:t>
      </w:r>
      <w:r>
        <w:t xml:space="preserve"> </w:t>
      </w:r>
      <w:r>
        <w:t xml:space="preserve">Chapter 7 – Rulemaking on Fees, adopted February 12, 2025; and</w:t>
      </w:r>
    </w:p>
    <w:p>
      <w:pPr>
        <w:pStyle w:val="kar_paragraph"/>
      </w:pPr>
      <w:r>
        <w:t xml:space="preserve">(g)</w:t>
      </w:r>
      <w:r>
        <w:t xml:space="preserve"> </w:t>
      </w:r>
      <w:r>
        <w:t xml:space="preserve">Chapter 8 - Rule on Conversion of a Privilege to a Home State License, adopted September 2, 2026;</w:t>
      </w:r>
    </w:p>
    <w:p>
      <w:pPr>
        <w:pStyle w:val="kar_paragraph"/>
      </w:pPr>
      <w:r>
        <w:t xml:space="preserve">(h)</w:t>
      </w:r>
      <w:r>
        <w:t xml:space="preserve"> </w:t>
      </w:r>
      <w:r>
        <w:t xml:space="preserve">Chapter 9 - Rule on Consistent Credentialing, adopted September 2, 2026; and</w:t>
      </w:r>
    </w:p>
    <w:p>
      <w:pPr>
        <w:pStyle w:val="kar_paragraph"/>
      </w:pPr>
      <w:r>
        <w:t xml:space="preserve">(i)</w:t>
      </w:r>
      <w:r>
        <w:t xml:space="preserve"> </w:t>
      </w:r>
      <w:r>
        <w:t xml:space="preserve">Chapter 10 – Rule on Supervised Postgraduate Experience, adopted September 2, 2026.</w:t>
      </w:r>
    </w:p>
    <w:p>
      <w:pPr>
        <w:pStyle w:val="kar_subsection"/>
      </w:pPr>
      <w:r>
        <w:t xml:space="preserve">(2)</w:t>
      </w:r>
      <w:r>
        <w:t xml:space="preserve"> </w:t>
      </w:r>
      <w:r>
        <w:t xml:space="preserve"> </w:t>
      </w:r>
    </w:p>
    <w:p>
      <w:pPr>
        <w:pStyle w:val="kar_paragraph"/>
      </w:pPr>
      <w:r>
        <w:t xml:space="preserve">(a)</w:t>
      </w:r>
      <w:r>
        <w:t xml:space="preserve"> </w:t>
      </w:r>
      <w:r>
        <w:t xml:space="preserve">This material may be inspected, copied, or obtained, subject to applicable copyright law, at the Board of Licensed Professional Counselors, 500 Mero Street, Frankfort, Kentucky 40602, Monday through Friday, 8 a.m. to 4:30 p.m.; or</w:t>
      </w:r>
    </w:p>
    <w:p>
      <w:pPr>
        <w:pStyle w:val="kar_paragraph"/>
      </w:pPr>
      <w:r>
        <w:t xml:space="preserve">(b)</w:t>
      </w:r>
      <w:r>
        <w:t xml:space="preserve"> </w:t>
      </w:r>
      <w:r>
        <w:t xml:space="preserve">This material may also be obtained on the Board of Licensed Professional Counselors' Web site at https://lpc.ky.gov/.</w:t>
      </w:r>
    </w:p>
    <w:p>
      <w:pPr>
        <w:pStyle w:val="kar_subsection"/>
      </w:pPr>
      <w:r>
        <w:t xml:space="preserve">(3)</w:t>
      </w:r>
      <w:r>
        <w:t xml:space="preserve"> </w:t>
      </w:r>
      <w:r>
        <w:t xml:space="preserve">This material may also be obtained at:</w:t>
      </w:r>
    </w:p>
    <w:p>
      <w:pPr>
        <w:pStyle w:val="kar_paragraph"/>
      </w:pPr>
      <w:r>
        <w:t xml:space="preserve">(a)</w:t>
      </w:r>
      <w:r>
        <w:t xml:space="preserve"> </w:t>
      </w:r>
      <w:r>
        <w:t xml:space="preserve">The Counseling Compact Commission, 108 Wind Haven Drive, Suite A, Nicholasville, Kentucky 40356; or</w:t>
      </w:r>
    </w:p>
    <w:p>
      <w:pPr>
        <w:pStyle w:val="kar_paragraph"/>
        <w:sectPr>
          <w:pgSz w:w="12240" w:h="15840" w:orient="portrait" w:code="1"/>
          <w:pgMar w:top="1080" w:right="1080" w:bottom="1080" w:left="1080" w:header="720" w:footer="720" w:gutter="0"/>
          <w:paperSrc w:first="263" w:other="263"/>
          <w:noEndnote/>
          <w:docGrid w:linePitch="218"/>
        </w:sectPr>
      </w:pPr>
      <w:r>
        <w:t xml:space="preserve">(b)</w:t>
      </w:r>
      <w:r>
        <w:t xml:space="preserve"> </w:t>
      </w:r>
      <w:r>
        <w:t xml:space="preserve">https://counselingcompact.org/compact-commission/rulemaking/.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631470a69da4c7c" /><Relationship Type="http://schemas.openxmlformats.org/officeDocument/2006/relationships/settings" Target="/word/settings.xml" Id="R00579db9e20e4d4a" /></Relationships>
</file>