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7a8a5280a4e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9:220.</w:t>
      </w:r>
      <w:r>
        <w:t xml:space="preserve"> </w:t>
      </w:r>
      <w:r>
        <w:t xml:space="preserve">Restriction upon dispensing of Schedule II controlled substances and Schedule III controlled substances containing Hydrocodone.</w:t>
      </w:r>
    </w:p>
    <w:p>
      <w:pPr>
        <w:pStyle w:val="kar_markup_metadata"/>
      </w:pPr>
      <w:r>
        <w:t xml:space="preserve">RELATES TO: </w:t>
      </w:r>
      <w:r>
        <w:t xml:space="preserve">KRS 218A.205(3)(b), 311.595(9), (12), 311.597</w:t>
      </w:r>
    </w:p>
    <w:p>
      <w:pPr>
        <w:pStyle w:val="kar_markup_metadata"/>
      </w:pPr>
      <w:r>
        <w:t xml:space="preserve">STATUTORY AUTHORITY: </w:t>
      </w:r>
      <w:r>
        <w:t xml:space="preserve">KRS 218A.205(3)(b), 311.565(1)(a)</w:t>
      </w:r>
    </w:p>
    <w:p>
      <w:pPr>
        <w:pStyle w:val="kar_markup_metadata"/>
      </w:pPr>
      <w:r>
        <w:t xml:space="preserve">NECESSITY, FUNCTION, AND CONFORMITY: </w:t>
      </w:r>
      <w:r>
        <w:t xml:space="preserve">KRS 311.565(1)(a) authorizes the board to promulgate administrative regulations to regulate the conduct of licensees. KRS 218A.205(3)(b) requires the board to promulgate an administrative regulation to prohibit a practitioner from dispensing greater than a forty-eight (48) hour supply of any Schedule II controlled substance or a Schedule III controlled substance containing hydrocodone unless the dispensing is done as part of a narcotic treatment program licensed by the Cabinet for Health and Family Services. This administrative regulation establishes that prohibition.</w:t>
      </w:r>
    </w:p>
    <w:p>
      <w:pPr>
        <w:pStyle w:val="kar_section"/>
      </w:pPr>
      <w:r>
        <w:t xml:space="preserve">Section 1.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physician licensed in Kentucky shall not dispense an amount greater than a forty-eight (48) hour supply of any Schedule II controlled substance or a Schedule III controlled substance containing hydrocodone to any patient, unless the dispensing is done as part of a narcotic treatment program licensed by the Cabinet for Health and Family Services.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physician licensed in Kentucky shall not act to avoid the limitation upon dispensing established in subsection (1) of this section by dispensing a Schedule II controlled substance or a Schedule III controlled substance containing hydrocodone to a patient on consecutive or multiple occasions.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Any violation of this section shall be considered a violation of KRS 311.595(12) and of 311.595(9), as illustrated by KRS 311.597(1)(b), and shall constitute a legal basis for disciplinary action pursuant to KRS 311.595.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(39 Ky.R. 661; Am. 1660; eff. 3-4-2013; Crt eff. 1-15-2020.)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da46f2ff76475e" /><Relationship Type="http://schemas.openxmlformats.org/officeDocument/2006/relationships/settings" Target="/word/settings.xml" Id="Rd7acf664e1d94ff9" /></Relationships>
</file>