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bb69ca4fc4e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17:010.</w:t>
      </w:r>
      <w:r>
        <w:t xml:space="preserve"> </w:t>
      </w:r>
      <w:r>
        <w:t xml:space="preserve">Definitions for 11 KAR Chapter 17.</w:t>
      </w:r>
    </w:p>
    <w:p>
      <w:pPr>
        <w:pStyle w:val="kar_markup_metadata"/>
      </w:pPr>
      <w:r>
        <w:t xml:space="preserve">RELATES TO: </w:t>
      </w:r>
      <w:r>
        <w:t xml:space="preserve">KRS 164A.700-164A.709</w:t>
      </w:r>
    </w:p>
    <w:p>
      <w:pPr>
        <w:pStyle w:val="kar_markup_metadata"/>
      </w:pPr>
      <w:r>
        <w:t xml:space="preserve">STATUTORY AUTHORITY: </w:t>
      </w:r>
      <w:r>
        <w:t xml:space="preserve">KRS 164A.704(1)</w:t>
      </w:r>
    </w:p>
    <w:p>
      <w:pPr>
        <w:pStyle w:val="kar_markup_metadata"/>
      </w:pPr>
      <w:r>
        <w:t xml:space="preserve">NECESSITY, FUNCTION, AND CONFORMITY: </w:t>
      </w:r>
      <w:r>
        <w:t xml:space="preserve">KRS 164A.704(1) requires the board to promulgate administrative regulations to implement KRS 164A.700 to 164A.709. This administrative regulation establishes the definitions for 11 KAR Chapter 17.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"Application period" means the period during which applications for a prepaid tuition contract shall be received by the office.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"Board" means the Board of Directors of the Commonwealth Postsecondary Education Prepaid Tuition Trust Fund.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"Eligible educational institution" is defined by KRS 164A.700(3).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"Full-time enrollment" means, for purposes of determining the payout value of a prepaid tuition account, sixteen (16) semester hours or the equivalent under a trimester or quarter system at an eligible educational institution.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"Fund" is defined by KRS 164A.700(4).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"KAPT" or "Kentucky's Affordable Prepaid Tuition Plan" means the name by which the Commonwealth Postsecondary Education Prepaid Tuition Trust Fund shall be marketed and promoted, in accordance with KRS 164A.700(4) and 164A.704(9).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"Mandatory fees" means, for purposes of determining the value of a prepaid tuition account, fees required as a condition of enrollment incurred by all students at an eligible educational institution.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"Office" means the Tuition Account Program Office in the Kentucky Higher Education Assistance Authority that is responsible for administering the prepaid tuition accounts.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"Prepaid tuition" is defined by KRS 164A.700(6).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"Prepaid tuition account" is defined by KRS 164A.700(9).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"Prepaid tuition contract" is defined by KRS 164A.700(10).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"Projected enrollment date" means the estimated date that the qualified beneficiary shall be enrolled and attend an eligible educational institution.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"Purchaser" is defined by KRS 164A.700(13).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"Qualified beneficiary" is defined by KRS 164A.700(14).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"Qualified postsecondary education expenses" is defined by KRS 164A.700(16).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"Tuition" is defined by KRS 164A.700(15).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"Value of a prepaid tuition account" is defined by KRS 164A.700(18).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(30 Ky.R. 757; 1193; eff. 12-1-2003; 31 Ky.R. 377; 698; eff. 11-5-2004; Cert eff. 9-28-2018; Cert eff. 10-1-2024.)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73a1788daf46e9" /><Relationship Type="http://schemas.openxmlformats.org/officeDocument/2006/relationships/settings" Target="/word/settings.xml" Id="R13089f0d58c94f5b" /></Relationships>
</file>