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ebb2e9f1b4d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9:450.</w:t>
      </w:r>
      <w:r>
        <w:t xml:space="preserve"> </w:t>
      </w:r>
      <w:r>
        <w:t xml:space="preserve">Fee schedule regarding acupuncturists.</w:t>
      </w:r>
    </w:p>
    <w:p>
      <w:pPr>
        <w:pStyle w:val="kar_markup_metadata"/>
      </w:pPr>
      <w:r>
        <w:t xml:space="preserve">RELATES TO: </w:t>
      </w:r>
      <w:r>
        <w:t xml:space="preserve">KRS 311.671, 311.673(1)</w:t>
      </w:r>
    </w:p>
    <w:p>
      <w:pPr>
        <w:pStyle w:val="kar_markup_metadata"/>
      </w:pPr>
      <w:r>
        <w:t xml:space="preserve">STATUTORY AUTHORITY: </w:t>
      </w:r>
      <w:r>
        <w:t xml:space="preserve">KRS 311.673(1)</w:t>
      </w:r>
    </w:p>
    <w:p>
      <w:pPr>
        <w:pStyle w:val="kar_markup_metadata"/>
      </w:pPr>
      <w:r>
        <w:t xml:space="preserve">NECESSITY, FUNCTION, AND CONFORMITY: </w:t>
      </w:r>
      <w:r>
        <w:t xml:space="preserve">KRS 311.673(1) authorizes the board to promulgate administrative regulations necessary to establish fees relating to the licensure and regulation of acupuncturists. This administrative regulation establishes a schedule of fees for services rendered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 Schedule for Acupuncturists.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fee for initial issuance of a regular license shall be $150.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 for biennial renewal of a license shall be $150.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penalty fee for late renewal of a license shall be fifty (50) dollars.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fee for issuance of a duplicate wallet card shall be five (5) dollars.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fee for issuance of a duplicate wall certificate shall be ten (10) dollars.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fee for verification of a state license to another licensing agency shall be ten (10) dollars.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(33 Ky.R. 1470; eff. 2-2-2007; Am. 1135; eff. 2-26-2015; Cert. eff. 2-23-2022.)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733fef294484e" /><Relationship Type="http://schemas.openxmlformats.org/officeDocument/2006/relationships/settings" Target="/word/settings.xml" Id="R5152138f2c7343b0" /></Relationships>
</file>