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a92532cab441e4" /></Relationships>
</file>

<file path=word/document.xml><?xml version="1.0" encoding="utf-8"?>
<w:document xmlns:w="http://schemas.openxmlformats.org/wordprocessingml/2006/main">
  <w:body>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323A.110(1)(b) authorizes the board to discipline a licensee for unprofessional conduct. KRS 323A.210 authorizes the board to adopt reasonable administrative regulations not inconsistent with KRS Chapter 323A but which are necessary to carry out the provisions of KRS Chapter 323A. This code of ethics is intended to establish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KRS 323A.110(1)(b).</w:t>
      </w:r>
    </w:p>
    <w:p>
      <w:pPr>
        <w:pStyle w:val="kar_subsection"/>
      </w:pPr>
      <w:r>
        <w:t xml:space="preserve">(2)</w:t>
      </w:r>
      <w:r>
        <w:t xml:space="preserve"> </w:t>
      </w:r>
      <w:r>
        <w:t xml:space="preserve">The landscape architect shall conduct his practice in order to protect the life, health, property and welfare of the public and shall at all times recognize that his primary obligation is to protect the life, health, property and welfare of the public in the performance of his professional duties. If his landscape architectural judgment is overruled under circumstances where the safety, health and welfare of the public are endangered, he shall inform his employer of the possible consequences and notify any other proper authority of the situation, as may be appropriate.</w:t>
      </w:r>
    </w:p>
    <w:p>
      <w:pPr>
        <w:pStyle w:val="kar_subsection"/>
      </w:pPr>
      <w:r>
        <w:t xml:space="preserve">(3)</w:t>
      </w:r>
      <w:r>
        <w:t xml:space="preserve"> </w:t>
      </w:r>
      <w:r>
        <w:t xml:space="preserve">The landscape architect shall perform his services only in areas of his competence.</w:t>
      </w:r>
    </w:p>
    <w:p>
      <w:pPr>
        <w:pStyle w:val="kar_paragraph"/>
      </w:pPr>
      <w:r>
        <w:t xml:space="preserve">(a)</w:t>
      </w:r>
      <w:r>
        <w:t xml:space="preserve"> </w:t>
      </w:r>
      <w:r>
        <w:t xml:space="preserve">The landscape architect shall perform landscape architectural assignments only when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own field of competence, but only to the extent that his services are restricted to those phases of the project in which 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signature or seal to any landscape architectural plan or document dealing with subject matter to which he lacks competence by virtue of education or experience, or to any such plan or document not prepared under his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employer or client and shall promptly inform his employer or client of any business association, interests, or circumstances which could influence his judgment or the quality of his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unless the circumstances are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gratuities, directly or indirectly, from contractors, their agents, or other parties dealing with his client or employer in connection with work for which he is responsible;</w:t>
      </w:r>
    </w:p>
    <w:p>
      <w:pPr>
        <w:pStyle w:val="kar_paragraph"/>
      </w:pPr>
      <w:r>
        <w:t xml:space="preserve">(e)</w:t>
      </w:r>
      <w:r>
        <w:t xml:space="preserve"> </w:t>
      </w:r>
      <w:r>
        <w:t xml:space="preserve">When in public service as a member, advisor, or employee of a governmental body or department, the landscape architect shall not participate in considerations or actions with respect to services provided by him or his organization in private landscape architectural practices;</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and he shall not accept a commission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securing salaried positions through employment agencies.</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his, or his associates', academic or professional qualifications. He shall not misrepresent or exaggerate his degree of responsibility in or for the subject matter of prior assignments. Brochures or other presentations incident to the solicitation of employment shall not misrepresent pertinent facts concerning employers, employees, associates, joint ventures, or his or their past accomplishments with the intent and purpose of enhancing his qualifications and his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name or firm in a business venture by any person or firm which he knows, or has reason to believe, is engaging in business or professional practices of a fraudulent or dishonest nature, or in violation of these administrative regulations; or</w:t>
      </w:r>
    </w:p>
    <w:p>
      <w:pPr>
        <w:pStyle w:val="kar_paragraph"/>
      </w:pPr>
      <w:r>
        <w:t xml:space="preserve">(b)</w:t>
      </w:r>
      <w:r>
        <w:t xml:space="preserve"> </w:t>
      </w:r>
      <w:r>
        <w:t xml:space="preserve">If the landscape architect has knowledge or reason to believe that another person or firm may be in violation of any of these provisions or KRS Chapter 323A, he shall present that information to the board in writing and shall cooperate with the board in furnishing any further information or assistance as may be required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593; eff. 4-9-75; Am. 16 Ky.R. 1234; eff. 2-3-90; 29 Ky.R. 1003; 1521; eff. 12-18-02; Crt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27eb0d91846f2" /><Relationship Type="http://schemas.openxmlformats.org/officeDocument/2006/relationships/settings" Target="/word/settings.xml" Id="R329b82c802164f01" /></Relationships>
</file>