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9c0988c6543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10:050.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323A.040, 323A.050, 323A.060, 323A.070, 323A.100(1), (4)</w:t>
      </w:r>
    </w:p>
    <w:p>
      <w:pPr>
        <w:pStyle w:val="kar_markup_metadata"/>
      </w:pPr>
      <w:r>
        <w:t xml:space="preserve">STATUTORY AUTHORITY: </w:t>
      </w:r>
      <w:r>
        <w:t xml:space="preserve">KRS 323A.060, 323A.100(1), 323A.210(2)(b)</w:t>
      </w:r>
    </w:p>
    <w:p>
      <w:pPr>
        <w:pStyle w:val="kar_markup_metadata"/>
      </w:pPr>
      <w:r>
        <w:t xml:space="preserve">NECESSITY, FUNCTION, AND CONFORMITY: </w:t>
      </w:r>
      <w:r>
        <w:t xml:space="preserve">KRS 323A.060 requires the board to promulgate administrative regulations to establish fees for services. This administrative regulation establishes fees for landscape architect licensees.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Fees. The following nonrefundable fees shall apply: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Renewal fees: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Active license: $250.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Inactive license: $150.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Retired license: twenty-five (25) percent of the active license renewal fee established in paragraph (a) of this subsection;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Duplicate license: twenty-five (25) dollars.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Application fee: $250.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Reinstatement fee: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Within thirty (30) days of expiration: 120 percent of the license renewal fee established in subsection (1)(a) or (1)(b) of this section;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Between thirty-one (31) and sixty (60) days of expiration: 140 percent of the license renewal fee established in subsection (1)(a) or (1)(b) of this section;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Between sixty-one (61) days and one (1) year of expiration: 200 percent of the license renewal fee established in subsection (1)(a) or (1)(b) of this section;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Beyond one (1) year of expiration: 300 percent of the license renewal fee established in subsection (1)(a) or (1)(b) of this section;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Reactivation fee: equal to the active license renewal fee established in subsection (1)(a) of this section.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 Ky.R. 594; eff. 4-9-75; Am. 6 Ky.R. 493; eff. 5-7-80; 15 Ky.R. 33; 950; eff. 9-9-88; 18 Ky.R. 3497; 19 Ky.R. 1068; eff. 10-30-92; 23 Ky.R. 170; eff. 9-11-96; 25 Ky.R. 1432; eff. 2-12-99; 29 Ky.R. 1006; 1522; eff. 12-18-02; 35 Ky.R. 1834; eff. 7-6-2009; 37 Ky.R. 1510; 1970; eff. 3-4-2011; 41 Ky.R. 2131; eff. 7-6-2015; Crt eff. 1-16-2020; 46 Ky.R. 1607; eff. 5-5-2020.)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11d3951444414e" /><Relationship Type="http://schemas.openxmlformats.org/officeDocument/2006/relationships/settings" Target="/word/settings.xml" Id="Ra262c1a504c641f2" /></Relationships>
</file>