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14148df99e42b6" /></Relationships>
</file>

<file path=word/document.xml><?xml version="1.0" encoding="utf-8"?>
<w:document xmlns:w="http://schemas.openxmlformats.org/wordprocessingml/2006/main">
  <w:body>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study" means a course of study in which a licensee takes and passes any examination offered by the sponsor.</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 Tour hours may be carried forward into subsequent years.</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 and</w:t>
      </w:r>
    </w:p>
    <w:p>
      <w:pPr>
        <w:pStyle w:val="kar_subparagraph"/>
      </w:pPr>
      <w:r>
        <w:t xml:space="preserve">2.</w:t>
      </w:r>
      <w:r>
        <w:t xml:space="preserve"> </w:t>
      </w:r>
      <w:r>
        <w:t xml:space="preserve">Furthers the competence of a licensee; and</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p>
    <w:p>
      <w:pPr>
        <w:pStyle w:val="kar_paragraph"/>
      </w:pPr>
      <w:r>
        <w:t xml:space="preserve">(a)</w:t>
      </w:r>
      <w:r>
        <w:t xml:space="preserve"> </w:t>
      </w:r>
      <w:r>
        <w:t xml:space="preserve">Before the continuing education program is offered, a sponsor shall submit a Continuing Education Preapproval Request and Affidavit (Form #CE-2) with a copy of the hand-out materials and agenda and a description of the 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with a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p>
    <w:p>
      <w:pPr>
        <w:pStyle w:val="kar_subsection"/>
      </w:pPr>
      <w:r>
        <w:t xml:space="preserve">(1)</w:t>
      </w:r>
      <w:r>
        <w:t xml:space="preserve"> </w:t>
      </w:r>
      <w:r>
        <w:t xml:space="preserve">Continuing education activities may include a college or university course. The conversion of university credits to continuing education hours shall be:</w:t>
      </w:r>
    </w:p>
    <w:p>
      <w:pPr>
        <w:pStyle w:val="kar_paragraph"/>
      </w:pPr>
      <w:r>
        <w:t xml:space="preserve">(a)</w:t>
      </w:r>
      <w:r>
        <w:t xml:space="preserve"> </w:t>
      </w:r>
      <w:r>
        <w:t xml:space="preserve">One (1) university quarter hour of credit shall equal thirty (30) continuing education hours.</w:t>
      </w:r>
    </w:p>
    <w:p>
      <w:pPr>
        <w:pStyle w:val="kar_paragraph"/>
      </w:pPr>
      <w:r>
        <w:t xml:space="preserve">(b)</w:t>
      </w:r>
      <w:r>
        <w:t xml:space="preserve"> </w:t>
      </w:r>
      <w:r>
        <w:t xml:space="preserve">One (1) university semester hour of credit shall equal forty-five (45) continuing education hours.</w:t>
      </w:r>
    </w:p>
    <w:p>
      <w:pPr>
        <w:pStyle w:val="kar_subsection"/>
      </w:pPr>
      <w:r>
        <w:t xml:space="preserve">(2)</w:t>
      </w:r>
      <w:r>
        <w:t xml:space="preserve"> </w:t>
      </w:r>
    </w:p>
    <w:p>
      <w:pPr>
        <w:pStyle w:val="kar_paragraph"/>
      </w:pPr>
      <w:r>
        <w:t xml:space="preserve">(a)</w:t>
      </w:r>
      <w:r>
        <w:t xml:space="preserve"> </w:t>
      </w:r>
      <w:r>
        <w:t xml:space="preserve">A landscape architect who prepares and teaches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 a "Continuing Education Approval Request and Affidavit Form (Form #CE-1)."</w:t>
      </w:r>
    </w:p>
    <w:p>
      <w:pPr>
        <w:pStyle w:val="kar_subsection"/>
      </w:pPr>
      <w:r>
        <w:t xml:space="preserve">(4)</w:t>
      </w:r>
      <w:r>
        <w:t xml:space="preserve"> </w:t>
      </w:r>
      <w:r>
        <w:t xml:space="preserve">The report of continuing education activities shall be:</w:t>
      </w:r>
    </w:p>
    <w:p>
      <w:pPr>
        <w:pStyle w:val="kar_paragraph"/>
      </w:pPr>
      <w:r>
        <w:t xml:space="preserve">(a)</w:t>
      </w:r>
      <w:r>
        <w:t xml:space="preserve"> </w:t>
      </w:r>
      <w:r>
        <w:t xml:space="preserve">Signed by the licensee; and</w:t>
      </w:r>
    </w:p>
    <w:p>
      <w:pPr>
        <w:pStyle w:val="kar_paragraph"/>
      </w:pPr>
      <w:r>
        <w:t xml:space="preserve">(b)</w:t>
      </w:r>
      <w:r>
        <w:t xml:space="preserve"> </w:t>
      </w:r>
      <w:r>
        <w:t xml:space="preserve">Affixed with the licensee's seal.</w:t>
      </w:r>
    </w:p>
    <w:p>
      <w:pPr>
        <w:pStyle w:val="kar_subsection"/>
      </w:pPr>
      <w:r>
        <w:t xml:space="preserve">(5)</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submission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w:t>
      </w:r>
    </w:p>
    <w:p>
      <w:pPr>
        <w:pStyle w:val="kar_paragraph"/>
      </w:pPr>
      <w:r>
        <w:t xml:space="preserve">(d)</w:t>
      </w:r>
      <w:r>
        <w:t xml:space="preserve"> </w:t>
      </w:r>
      <w:r>
        <w:t xml:space="preserve">Receipt for a fee paid to a sponsor; or</w:t>
      </w:r>
    </w:p>
    <w:p>
      <w:pPr>
        <w:pStyle w:val="kar_paragraph"/>
      </w:pPr>
      <w:r>
        <w:t xml:space="preserve">(e)</w:t>
      </w:r>
      <w:r>
        <w:t xml:space="preserve"> </w:t>
      </w:r>
      <w:r>
        <w:t xml:space="preserve">A written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to the board a completed and updated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period of initial licensure;</w:t>
      </w:r>
    </w:p>
    <w:p>
      <w:pPr>
        <w:pStyle w:val="kar_paragraph"/>
      </w:pPr>
      <w:r>
        <w:t xml:space="preserve">(b)</w:t>
      </w:r>
      <w:r>
        <w:t xml:space="preserve"> </w:t>
      </w:r>
      <w:r>
        <w:t xml:space="preserve">During the period of time in which the licensee has an inactive license in accordance with the provisions of Section 10 of this administrative regulation; or</w:t>
      </w:r>
    </w:p>
    <w:p>
      <w:pPr>
        <w:pStyle w:val="kar_paragraph"/>
      </w:pPr>
      <w:r>
        <w:t xml:space="preserve">(c)</w:t>
      </w:r>
      <w:r>
        <w:t xml:space="preserve"> </w:t>
      </w:r>
      <w:r>
        <w:t xml:space="preserve">If the board approves a written request for an exemption submitted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written document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 xml:space="preserve">Section 10.</w:t>
      </w:r>
      <w:r>
        <w:t xml:space="preserve"> </w:t>
      </w:r>
      <w:r>
        <w:t xml:space="preserve">Inactive License.</w:t>
      </w:r>
    </w:p>
    <w:p>
      <w:pPr>
        <w:pStyle w:val="kar_subsection"/>
      </w:pPr>
      <w:r>
        <w:t xml:space="preserve">(1)</w:t>
      </w:r>
      <w:r>
        <w:t xml:space="preserve"> </w:t>
      </w:r>
      <w:r>
        <w:t xml:space="preserve">A licensee may choose to inactivate his license.</w:t>
      </w:r>
    </w:p>
    <w:p>
      <w:pPr>
        <w:pStyle w:val="kar_subsection"/>
      </w:pPr>
      <w:r>
        <w:t xml:space="preserve">(2)</w:t>
      </w:r>
      <w:r>
        <w:t xml:space="preserve"> </w:t>
      </w:r>
      <w:r>
        <w:t xml:space="preserve">During the period a license is inactive, a licensee shall:</w:t>
      </w:r>
    </w:p>
    <w:p>
      <w:pPr>
        <w:pStyle w:val="kar_paragraph"/>
      </w:pPr>
      <w:r>
        <w:t xml:space="preserve">(a)</w:t>
      </w:r>
      <w:r>
        <w:t xml:space="preserve"> </w:t>
      </w:r>
      <w:r>
        <w:t xml:space="preserve">Be exempt from the provisions of this administrative regulation; and</w:t>
      </w:r>
    </w:p>
    <w:p>
      <w:pPr>
        <w:pStyle w:val="kar_paragraph"/>
      </w:pPr>
      <w:r>
        <w:t xml:space="preserve">(b)</w:t>
      </w:r>
      <w:r>
        <w:t xml:space="preserve"> </w:t>
      </w:r>
      <w:r>
        <w:t xml:space="preserve">Not practice landscape architecture.</w:t>
      </w:r>
    </w:p>
    <w:p>
      <w:pPr>
        <w:pStyle w:val="kar_section"/>
      </w:pPr>
      <w:r>
        <w:t xml:space="preserve">Section 11.</w:t>
      </w:r>
      <w:r>
        <w:t xml:space="preserve"> </w:t>
      </w:r>
      <w:r>
        <w:t xml:space="preserve">Reinstatement of Suspended or Inactive License.</w:t>
      </w:r>
    </w:p>
    <w:p>
      <w:pPr>
        <w:pStyle w:val="kar_subsection"/>
      </w:pPr>
      <w:r>
        <w:t xml:space="preserve">(1)</w:t>
      </w:r>
      <w:r>
        <w:t xml:space="preserve"> </w:t>
      </w:r>
      <w:r>
        <w:t xml:space="preserve">Prior to reinstatement of a suspended or inactive license, a licensee shall complete the number of continuing education hours required for the annual renewal of the license times the number of years the license was suspended or inactive.</w:t>
      </w:r>
    </w:p>
    <w:p>
      <w:pPr>
        <w:pStyle w:val="kar_subsection"/>
      </w:pPr>
      <w:r>
        <w:t xml:space="preserve">(2)</w:t>
      </w:r>
      <w:r>
        <w:t xml:space="preserve"> </w:t>
      </w:r>
      <w:r>
        <w:t xml:space="preserve">The number of continuing education hours required by subsection (1) of this section shall not exceed twenty-four (24) hours.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Approval Request and Affidavit Form" (Form #CE-1), May 2002 edition; and</w:t>
      </w:r>
    </w:p>
    <w:p>
      <w:pPr>
        <w:pStyle w:val="kar_paragraph"/>
      </w:pPr>
      <w:r>
        <w:t xml:space="preserve">(b)</w:t>
      </w:r>
      <w:r>
        <w:t xml:space="preserve"> </w:t>
      </w:r>
      <w:r>
        <w:t xml:space="preserve">"Continuing Education Preapproval Request and Affidavit Form" (Form #CE-2), May 2002 edition.</w:t>
      </w:r>
    </w:p>
    <w:p>
      <w:pPr>
        <w:pStyle w:val="kar_subsection"/>
      </w:pPr>
      <w:r>
        <w:t xml:space="preserve">(2)</w:t>
      </w:r>
      <w:r>
        <w:t xml:space="preserve"> </w:t>
      </w:r>
      <w:r>
        <w:t xml:space="preserve">This material may be inspected, copied, or obtained, subject to applicable copyright law, at Kentucky Board of Landscape Architects, 2365 Harrodsburg Road, B350, Lexington, Kentucky 40504,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1726; Am. 2524; eff. 1-29-92; 24 Ky.R. 134; 563; eff. 11-14-97; 25 Ky.R. 1433; 2126; eff. 5-14-99; 29 Ky.R. 1007; 1522; eff. 12-18-02; Crt eff. 1-16-2020; 46 Ky.R. 1608, 2228; eff. 5-5-2020; TAm eff. 3-24-2021.)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f99596b4514b08" /><Relationship Type="http://schemas.openxmlformats.org/officeDocument/2006/relationships/settings" Target="/word/settings.xml" Id="Re29e9f9f1efd46fa" /></Relationships>
</file>