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bb6a1dd037496d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Boards and Commissions</w:t>
      </w:r>
    </w:p>
    <w:p>
      <w:pPr>
        <w:pStyle w:val="kar_markup_header"/>
      </w:pPr>
      <w:r>
        <w:t xml:space="preserve">Board of Cosmetology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201 KAR 12:070.</w:t>
      </w:r>
      <w:r>
        <w:t xml:space="preserve"> </w:t>
      </w:r>
      <w:r>
        <w:t xml:space="preserve">Requirements for esthetic salons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8cdb9593b0f4106" /><Relationship Type="http://schemas.openxmlformats.org/officeDocument/2006/relationships/settings" Target="/word/settings.xml" Id="R60cef2714365408a" /></Relationships>
</file>