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0e8184c0404378" /></Relationships>
</file>

<file path=word/document.xml><?xml version="1.0" encoding="utf-8"?>
<w:document xmlns:w="http://schemas.openxmlformats.org/wordprocessingml/2006/main">
  <w:body>
    <w:p>
      <w:pPr>
        <w:pStyle w:val="kar_citation"/>
      </w:pPr>
      <w:r>
        <w:t>11 KAR 20:020.</w:t>
      </w:r>
      <w:r>
        <w:t xml:space="preserve"> </w:t>
      </w:r>
      <w:r>
        <w:t xml:space="preserve">Application and certification.</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establishes the student application and school certification procedures to be followed in applying for an award under the Kentucky Coal County College Completion Scholarship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In order for an eligible student to be considered for an award under this program, the student shall complete:</w:t>
      </w:r>
    </w:p>
    <w:p>
      <w:pPr>
        <w:pStyle w:val="kar_paragraph"/>
      </w:pPr>
      <w:r>
        <w:t xml:space="preserve">(a)</w:t>
      </w:r>
      <w:r>
        <w:t xml:space="preserve"> </w:t>
      </w:r>
      <w:r>
        <w:t xml:space="preserve">The Kentucky Coal County College Completion Scholarship Application online as set forth in 11 KAR 4:080, Section 1(8)(b), from the KHEAA Web site, http//www.kheaa.com/; and</w:t>
      </w:r>
    </w:p>
    <w:p>
      <w:pPr>
        <w:pStyle w:val="kar_paragraph"/>
      </w:pPr>
      <w:r>
        <w:t xml:space="preserve">(b)</w:t>
      </w:r>
      <w:r>
        <w:t xml:space="preserve"> </w:t>
      </w:r>
      <w:r>
        <w:t xml:space="preserve">The Free Application for Federal Student Aid (FAFSA) as set forth in 11 KAR 4:080, Section 1(8)(a).</w:t>
      </w:r>
    </w:p>
    <w:p>
      <w:pPr>
        <w:pStyle w:val="kar_subsection"/>
      </w:pPr>
      <w:r>
        <w:t xml:space="preserve">(2)</w:t>
      </w:r>
      <w:r>
        <w:t xml:space="preserve"> </w:t>
      </w:r>
      <w:r>
        <w:t xml:space="preserve">The application period for this program shall be January 1 through May 1 preceding the academic year for which the award is requested.</w:t>
      </w:r>
    </w:p>
    <w:p>
      <w:pPr>
        <w:pStyle w:val="kar_section"/>
      </w:pPr>
      <w:r>
        <w:t xml:space="preserve">Section 2.</w:t>
      </w:r>
      <w:r>
        <w:t xml:space="preserve"> </w:t>
      </w:r>
      <w:r>
        <w:t xml:space="preserve">Certification.</w:t>
      </w:r>
    </w:p>
    <w:p>
      <w:pPr>
        <w:pStyle w:val="kar_subsection"/>
      </w:pPr>
      <w:r>
        <w:t xml:space="preserve">(1)</w:t>
      </w:r>
      <w:r>
        <w:t xml:space="preserve"> </w:t>
      </w:r>
      <w:r>
        <w:t xml:space="preserve">For each applicant for an award under this program, the institution shall certify to the authority:</w:t>
      </w:r>
    </w:p>
    <w:p>
      <w:pPr>
        <w:pStyle w:val="kar_paragraph"/>
      </w:pPr>
      <w:r>
        <w:t xml:space="preserve">(a)</w:t>
      </w:r>
      <w:r>
        <w:t xml:space="preserve"> </w:t>
      </w:r>
      <w:r>
        <w:t xml:space="preserve">The number of credit hours the applicant has successfully completed toward bachelor's degree completion at or prior to the end of the spring semester of the academic year preceding the application award year;</w:t>
      </w:r>
    </w:p>
    <w:p>
      <w:pPr>
        <w:pStyle w:val="kar_paragraph"/>
      </w:pPr>
      <w:r>
        <w:t xml:space="preserve">(b)</w:t>
      </w:r>
      <w:r>
        <w:t xml:space="preserve"> </w:t>
      </w:r>
      <w:r>
        <w:t xml:space="preserve">The applicant's status as a permanent resident of a coal-producing county; and</w:t>
      </w:r>
    </w:p>
    <w:p>
      <w:pPr>
        <w:pStyle w:val="kar_paragraph"/>
      </w:pPr>
      <w:r>
        <w:t xml:space="preserve">(c)</w:t>
      </w:r>
      <w:r>
        <w:t xml:space="preserve"> </w:t>
      </w:r>
      <w:r>
        <w:t xml:space="preserve">If the applicant is a permanent resident of a coal-producing county, the name of the county of permanent residence.</w:t>
      </w:r>
    </w:p>
    <w:p>
      <w:pPr>
        <w:pStyle w:val="kar_subsection"/>
      </w:pPr>
      <w:r>
        <w:t xml:space="preserve">(2)</w:t>
      </w:r>
      <w:r>
        <w:t xml:space="preserve"> </w:t>
      </w:r>
      <w:r>
        <w:t xml:space="preserve">The certification shall be completed and submitted to the authority no later than June 30 preceding the academic year for which the certification is applicable.</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1242; 1507;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7fde53a8b42fd" /><Relationship Type="http://schemas.openxmlformats.org/officeDocument/2006/relationships/settings" Target="/word/settings.xml" Id="R82155d568cab4bfe" /></Relationships>
</file>