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8f0565e37d438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14:045.</w:t>
      </w:r>
      <w:r>
        <w:t xml:space="preserve"> </w:t>
      </w:r>
      <w:r>
        <w:t xml:space="preserve">Notification and inspection of new shop locations.</w:t>
      </w:r>
    </w:p>
    <w:p>
      <w:pPr>
        <w:pStyle w:val="kar_markup_metadata"/>
      </w:pPr>
      <w:r>
        <w:t xml:space="preserve">RELATES TO: </w:t>
      </w:r>
      <w:r>
        <w:t xml:space="preserve">KRS 317.440</w:t>
      </w:r>
    </w:p>
    <w:p>
      <w:pPr>
        <w:pStyle w:val="kar_markup_metadata"/>
      </w:pPr>
      <w:r>
        <w:t xml:space="preserve">STATUTORY AUTHORITY: </w:t>
      </w:r>
      <w:r>
        <w:t xml:space="preserve">KRS 317.440(1)</w:t>
      </w:r>
    </w:p>
    <w:p>
      <w:pPr>
        <w:pStyle w:val="kar_markup_metadata"/>
      </w:pPr>
      <w:r>
        <w:t xml:space="preserve">NECESSITY, FUNCTION, AND CONFORMITY: </w:t>
      </w:r>
      <w:r>
        <w:t xml:space="preserve">KRS 317.440(1)(a) and (b) require the board to promulgate administrative regulations regarding the location and housing of a barber shop and the quantity and quality of equipment, supplies, materials, records, and furnishings required in a barber shop. This administrative regulation establishes the requirement of an inspection and sets up the time for notification for new barber shops and licensed barber shops moving to a new location.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 new barber shop shall request an inspection by the board at least five (5) days before opening for business.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A licensed barber shop moving to a new location shall notify the board of its new location at least five (5) days before opening for business.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A new barber shop or a licensed barber shop moving to a new location shall not be open for business until inspected and approved by the board in accordance with 201 KAR 14:040.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(KBB:Insp-2; 1 Ky.R. 724; eff. 5-14-1975; 42 Ky.R. 2923; 43 Ky.R. 195; eff. 9-2-2016;Expired 7 years after last effective date. (KRS 13A.3102) eff. 9-2-2023.)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a8850bb59b4e1c" /><Relationship Type="http://schemas.openxmlformats.org/officeDocument/2006/relationships/settings" Target="/word/settings.xml" Id="R598a12af121e4afc" /></Relationships>
</file>