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6d54934b59479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14:067.</w:t>
      </w:r>
      <w:r>
        <w:t xml:space="preserve"> </w:t>
      </w:r>
      <w:r>
        <w:t xml:space="preserve">Shop in residence; requirements.</w:t>
      </w:r>
    </w:p>
    <w:p>
      <w:pPr>
        <w:pStyle w:val="kar_markup_metadata"/>
      </w:pPr>
      <w:r>
        <w:t xml:space="preserve">RELATES TO: </w:t>
      </w:r>
      <w:r>
        <w:t xml:space="preserve">KRS 317.440, 317.450</w:t>
      </w:r>
    </w:p>
    <w:p>
      <w:pPr>
        <w:pStyle w:val="kar_markup_metadata"/>
      </w:pPr>
      <w:r>
        <w:t xml:space="preserve">STATUTORY AUTHORITY: </w:t>
      </w:r>
      <w:r>
        <w:t xml:space="preserve">KRS 317.410, 317.420, 317.440</w:t>
      </w:r>
    </w:p>
    <w:p>
      <w:pPr>
        <w:pStyle w:val="kar_markup_metadata"/>
      </w:pPr>
      <w:r>
        <w:t xml:space="preserve">NECESSITY, FUNCTION, AND CONFORMITY: </w:t>
      </w:r>
      <w:r>
        <w:t xml:space="preserve">Outside entrance.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Any licensed barber shop located in a residence shall have an outside entrance.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(KBB:Lic:PL:Bus-1; 1 Ky.R. 1348; eff. 6-11-1975; 10 Ky.R. 894; eff. 2-1-1984; Expired 3-1-2020, KRS 13A.3102(2)/HB 4 2019.)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214db54ac94d64" /><Relationship Type="http://schemas.openxmlformats.org/officeDocument/2006/relationships/settings" Target="/word/settings.xml" Id="R02e2dd229d8e4168" /></Relationships>
</file>