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3773a42eaa48cd" /></Relationships>
</file>

<file path=word/document.xml><?xml version="1.0" encoding="utf-8"?>
<w:document xmlns:w="http://schemas.openxmlformats.org/wordprocessingml/2006/main">
  <w:body>
    <w:p>
      <w:pPr>
        <w:pStyle w:val="kar_citation"/>
      </w:pPr>
      <w:r>
        <w:t>201 KAR 14:070.</w:t>
      </w:r>
      <w:r>
        <w:t xml:space="preserve"> </w:t>
      </w:r>
      <w:r>
        <w:t xml:space="preserve">Shop license applications.</w:t>
      </w:r>
    </w:p>
    <w:p>
      <w:pPr>
        <w:pStyle w:val="kar_markup_metadata"/>
      </w:pPr>
      <w:r>
        <w:t xml:space="preserve">RELATES TO: </w:t>
      </w:r>
      <w:r>
        <w:t xml:space="preserve">KRS 317.450(3)</w:t>
      </w:r>
    </w:p>
    <w:p>
      <w:pPr>
        <w:pStyle w:val="kar_markup_metadata"/>
      </w:pPr>
      <w:r>
        <w:t xml:space="preserve">STATUTORY AUTHORITY: </w:t>
      </w:r>
      <w:r>
        <w:t xml:space="preserve">KRS 317.440</w:t>
      </w:r>
    </w:p>
    <w:p>
      <w:pPr>
        <w:pStyle w:val="kar_markup_metadata"/>
      </w:pPr>
      <w:r>
        <w:t xml:space="preserve">NECESSITY, FUNCTION, AND CONFORMITY: </w:t>
      </w:r>
      <w:r>
        <w:t xml:space="preserve">KRS 317.440 requires the board to promulgate administrative regulations governing the location and housing of barber shops or schools. This administrative regulation establishes the requirements for the application for shop licenses.</w:t>
      </w:r>
    </w:p>
    <w:p>
      <w:pPr>
        <w:pStyle w:val="kar_section"/>
      </w:pPr>
      <w:r>
        <w:t xml:space="preserve">Section 1.</w:t>
      </w:r>
      <w:r>
        <w:t xml:space="preserve"> </w:t>
      </w:r>
      <w:r>
        <w:t xml:space="preserve">All new barber shops and all barber shops moving to new locations shall comply with all city, county, and state health regulations and shall include a signature from the state plumbing inspector on an application supplied by the barber board.</w:t>
      </w:r>
    </w:p>
    <w:p>
      <w:pPr>
        <w:pStyle w:val="kar_section"/>
      </w:pPr>
      <w:r>
        <w:t xml:space="preserve">Section 2.</w:t>
      </w:r>
      <w:r>
        <w:t xml:space="preserve"> </w:t>
      </w:r>
      <w:r>
        <w:t xml:space="preserve">Barber shop licenses are not transferable from one (1) location to another or one (1) person to another. A new license shall be obtained.</w:t>
      </w:r>
    </w:p>
    <w:p>
      <w:pPr>
        <w:pStyle w:val="kar_history"/>
        <w:sectPr>
          <w:pgSz w:w="12240" w:h="15840" w:orient="portrait" w:code="1"/>
          <w:pgMar w:top="1080" w:right="1080" w:bottom="1080" w:left="1080" w:header="720" w:footer="720" w:gutter="0"/>
          <w:paperSrc w:first="263" w:other="263"/>
          <w:noEndnote/>
          <w:docGrid w:linePitch="218"/>
        </w:sectPr>
      </w:pPr>
      <w:r>
        <w:t xml:space="preserve">(KBB:Lic.Shop-1; 1 Ky.R. 725; eff. 5-14-1975; 10 Ky.R. 894; eff. 2-1-1984; 47 Ky.R. 760, 1371;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fefc5510604f9a" /><Relationship Type="http://schemas.openxmlformats.org/officeDocument/2006/relationships/settings" Target="/word/settings.xml" Id="R2dbbacb42f134a09" /></Relationships>
</file>