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22c063272a4ef1" /></Relationships>
</file>

<file path=word/document.xml><?xml version="1.0" encoding="utf-8"?>
<w:document xmlns:w="http://schemas.openxmlformats.org/wordprocessingml/2006/main">
  <w:body>
    <w:p>
      <w:pPr>
        <w:pStyle w:val="kar_citation"/>
      </w:pPr>
      <w:r>
        <w:t>201 KAR 15:015.</w:t>
      </w:r>
      <w:r>
        <w:t xml:space="preserve"> </w:t>
      </w:r>
      <w:r>
        <w:t xml:space="preserve">Per diem compensation of board members.</w:t>
      </w:r>
    </w:p>
    <w:p>
      <w:pPr>
        <w:pStyle w:val="kar_markup_metadata"/>
      </w:pPr>
      <w:r>
        <w:t xml:space="preserve">RELATES TO: </w:t>
      </w:r>
      <w:r>
        <w:t xml:space="preserve">KRS 316.170, 316.210</w:t>
      </w:r>
    </w:p>
    <w:p>
      <w:pPr>
        <w:pStyle w:val="kar_markup_metadata"/>
      </w:pPr>
      <w:r>
        <w:t xml:space="preserve">STATUTORY AUTHORITY: </w:t>
      </w:r>
      <w:r>
        <w:t xml:space="preserve">KRS 316.170(5),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316.170(5) requires the board to establish the amount of per diem compensation to be paid beginning January 1, 2015, to board members, not to exceed $200. This administrative regulation establishes the per diem amount to be received by board members.</w:t>
      </w:r>
    </w:p>
    <w:p>
      <w:pPr>
        <w:pStyle w:val="kar_section"/>
      </w:pPr>
      <w:r>
        <w:t xml:space="preserve">Section 1.</w:t>
      </w:r>
      <w:r>
        <w:t xml:space="preserve"> </w:t>
      </w:r>
      <w:r>
        <w:t xml:space="preserve">Beginning January 1, 2020, each member of the board shall receive $200 for each day spent in the discharge of his or her official duties.</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336; Am. 1041; eff. 12-5-2014; 46 Ky.R. 90;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c903c7a0024e0a" /><Relationship Type="http://schemas.openxmlformats.org/officeDocument/2006/relationships/settings" Target="/word/settings.xml" Id="R936e7cb5feb24861" /></Relationships>
</file>