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26c4dac5547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18:092.</w:t>
      </w:r>
      <w:r>
        <w:t xml:space="preserve"> </w:t>
      </w:r>
      <w:r>
        <w:t xml:space="preserve">Surveying Core Curriculum.</w:t>
      </w:r>
    </w:p>
    <w:p>
      <w:pPr>
        <w:pStyle w:val="kar_markup_metadata"/>
      </w:pPr>
      <w:r>
        <w:t xml:space="preserve">RELATES TO: </w:t>
      </w:r>
      <w:r>
        <w:t xml:space="preserve">KRS 322.010, 322.045, 322.120, 322.290(4)</w:t>
      </w:r>
    </w:p>
    <w:p>
      <w:pPr>
        <w:pStyle w:val="kar_markup_metadata"/>
      </w:pPr>
      <w:r>
        <w:t xml:space="preserve">STATUTORY AUTHORITY: </w:t>
      </w:r>
      <w:r>
        <w:t xml:space="preserve">KRS 322.045, 322.290(4)</w:t>
      </w:r>
    </w:p>
    <w:p>
      <w:pPr>
        <w:pStyle w:val="kar_markup_metadata"/>
      </w:pPr>
      <w:r>
        <w:t xml:space="preserve">NECESSITY, FUNCTION, AND CONFORMITY: </w:t>
      </w:r>
      <w:r>
        <w:t xml:space="preserve">KRS 322.045(3) provides that the board shall promulgate administrative regulations to establish requirements for the surveying core curriculum as described in KRS 322.045(1)(c)2. This administrative regulation establishes these requirements.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core curriculum in land surveying and related areas referred to in KRS 322.045(1)(c)2 shall consist of twenty-four (24) semester credit hours from a board-approved college or university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minimum of twelve (12) semester credit hours in at least three (3) of the following subject areas: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Principles of Surveying;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Professional Ethics and Conduct;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Computer Graphics related to land surveying;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Geographic Information Systems;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Route Surveying;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Land Boundary Location; or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Boundary Law.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remainder of the twenty-four (24) semester credit hours shall come from the following subject areas: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Automated Surveying and Mapping;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Geodetic Surveying;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Hydrographic Surveying;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Photogrammetry;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Subdivision and Land Use Planning;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Advanced Surveying Measurement;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Construction Surveying;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Public Land Systems;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Remote Sensing Applications; or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Mine Surveying.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twelve (12) semester credit hours of the core curriculum in land surveying referred to in KRS 322.045(1)(c)3 shall consist of the twelve (12) hours described in subsection (1) above.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(31 Ky.R. 1921; Am. 32 Ky.R. 53; eff. 8-5-05; Crt eff. 2-14-2020.)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722147f3b5458b" /><Relationship Type="http://schemas.openxmlformats.org/officeDocument/2006/relationships/settings" Target="/word/settings.xml" Id="R9c9a9efd55974510" /></Relationships>
</file>