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67b02d4f644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18:120.</w:t>
      </w:r>
      <w:r>
        <w:t xml:space="preserve"> </w:t>
      </w:r>
      <w:r>
        <w:t xml:space="preserve">Reissuance of license.</w:t>
      </w:r>
    </w:p>
    <w:p>
      <w:pPr>
        <w:pStyle w:val="kar_markup_metadata"/>
      </w:pPr>
      <w:r>
        <w:t xml:space="preserve">RELATES TO: </w:t>
      </w:r>
      <w:r>
        <w:t xml:space="preserve">KRS 322.170</w:t>
      </w:r>
    </w:p>
    <w:p>
      <w:pPr>
        <w:pStyle w:val="kar_markup_metadata"/>
      </w:pPr>
      <w:r>
        <w:t xml:space="preserve">STATUTORY AUTHORITY: </w:t>
      </w:r>
      <w:r>
        <w:t xml:space="preserve">KRS 322.290(4)</w:t>
      </w:r>
    </w:p>
    <w:p>
      <w:pPr>
        <w:pStyle w:val="kar_markup_metadata"/>
      </w:pPr>
      <w:r>
        <w:t xml:space="preserve">NECESSITY, FUNCTION, AND CONFORMITY: </w:t>
      </w:r>
      <w:r>
        <w:t xml:space="preserve">KRS 322.170 authorizes the board to reissue licenses and permits. This administrative regulation establishes the procedure for reissuance of licenses and permits.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Reissuance of License. The fee charged for the reissuance of a license or permit shall be as set out in 201 KAR 18:040. A replacement license or permit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Bear the signatures of the current chairman;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Secretary-treasurer of the board and shall be identified as a replacement certificate.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(PE&amp;LS-XII; 1 Ky.R. 1020; eff. 6-11-75; Am. 25 Ky.R. 2932; Am. 26 Ky.R. 720; 10-15-99; 28 Ky.R. 674; eff. 11-9-2001; Crt eff. 2-14-2020.)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913b090614166" /><Relationship Type="http://schemas.openxmlformats.org/officeDocument/2006/relationships/settings" Target="/word/settings.xml" Id="R436f634f58be4284" /></Relationships>
</file>