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a3361af5042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19:250.</w:t>
      </w:r>
      <w:r>
        <w:t xml:space="preserve"> </w:t>
      </w:r>
      <w:r>
        <w:t xml:space="preserve">Temporary licensing not permitted.</w:t>
      </w:r>
    </w:p>
    <w:p>
      <w:pPr>
        <w:pStyle w:val="kar_markup_metadata"/>
      </w:pPr>
      <w:r>
        <w:t xml:space="preserve">RELATES TO: </w:t>
      </w:r>
      <w:r>
        <w:t xml:space="preserve">KRS 323.020</w:t>
      </w:r>
    </w:p>
    <w:p>
      <w:pPr>
        <w:pStyle w:val="kar_markup_metadata"/>
      </w:pPr>
      <w:r>
        <w:t xml:space="preserve">STATUTORY AUTHORITY: </w:t>
      </w:r>
      <w:r>
        <w:t xml:space="preserve">KRS 323.210</w:t>
      </w:r>
    </w:p>
    <w:p>
      <w:pPr>
        <w:pStyle w:val="kar_markup_metadata"/>
      </w:pPr>
      <w:r>
        <w:t xml:space="preserve">NECESSITY, FUNCTION, AND CONFORMITY: </w:t>
      </w:r>
      <w:r>
        <w:t xml:space="preserve">KRS 323.210(2) authorizes the board to promulgate administrative regulations necessary to carry out the purposes of KRS Chapter 323. This administrative regulation prohibits temporary licensure of nonresident licensed architects.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Temporary Licensing: Temporary registration, licenses, or permits shall not be granted.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(47 Ky.R. 617, 1545;eff. 5-4-2021.)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e1c6f9612344a1" /><Relationship Type="http://schemas.openxmlformats.org/officeDocument/2006/relationships/settings" Target="/word/settings.xml" Id="Rbb958c6b9dd54ff7" /></Relationships>
</file>