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30310b54384834" /></Relationships>
</file>

<file path=word/document.xml><?xml version="1.0" encoding="utf-8"?>
<w:document xmlns:w="http://schemas.openxmlformats.org/wordprocessingml/2006/main">
  <w:body>
    <w:p>
      <w:pPr>
        <w:pStyle w:val="kar_citation"/>
      </w:pPr>
      <w:r>
        <w:t>201 KAR 19:275.</w:t>
      </w:r>
      <w:r>
        <w:t xml:space="preserve"> </w:t>
      </w:r>
      <w:r>
        <w:t xml:space="preserve">Use of title ''architect''.</w:t>
      </w:r>
    </w:p>
    <w:p>
      <w:pPr>
        <w:pStyle w:val="kar_markup_metadata"/>
      </w:pPr>
      <w:r>
        <w:t xml:space="preserve">RELATES TO: </w:t>
      </w:r>
      <w:r>
        <w:t xml:space="preserve">KRS 323.010, 323.230</w:t>
      </w:r>
    </w:p>
    <w:p>
      <w:pPr>
        <w:pStyle w:val="kar_markup_metadata"/>
      </w:pPr>
      <w:r>
        <w:t xml:space="preserve">STATUTORY AUTHORITY: </w:t>
      </w:r>
      <w:r>
        <w:t xml:space="preserve">KRS 323.210</w:t>
      </w:r>
    </w:p>
    <w:p>
      <w:pPr>
        <w:pStyle w:val="kar_markup_metadata"/>
      </w:pPr>
      <w:r>
        <w:t xml:space="preserve">NECESSITY, FUNCTION, AND CONFORMITY: </w:t>
      </w:r>
      <w:r>
        <w:t xml:space="preserve">KRS 323.210(2) authorizes the board to promulgate administrative regulations necessary to carry out the purposes of KRS Chapter 323. This administrative regulation establishes requirements that relate to the use of the title of "Architect."</w:t>
      </w:r>
    </w:p>
    <w:p>
      <w:pPr>
        <w:pStyle w:val="kar_section"/>
      </w:pPr>
      <w:r>
        <w:t xml:space="preserve">Section 1.</w:t>
      </w:r>
      <w:r>
        <w:t xml:space="preserve"> </w:t>
      </w:r>
      <w:r>
        <w:t xml:space="preserve">Individuals only are Licensed. Registration is of individuals only. No corporation, association, or partnership may be registered as an architect. The word "architect" may be used to apply only to the names of individuals registered under the provisions of KRS Chapter 323.</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625, 1549;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6de3545f1342ac" /><Relationship Type="http://schemas.openxmlformats.org/officeDocument/2006/relationships/settings" Target="/word/settings.xml" Id="R9b401038bc5e4ee2" /></Relationships>
</file>