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dc219dbf394364" /></Relationships>
</file>

<file path=word/document.xml><?xml version="1.0" encoding="utf-8"?>
<w:document xmlns:w="http://schemas.openxmlformats.org/wordprocessingml/2006/main">
  <w:body>
    <w:p>
      <w:pPr>
        <w:pStyle w:val="kar_citation"/>
      </w:pPr>
      <w:r>
        <w:t>201 KAR 19:440.</w:t>
      </w:r>
      <w:r>
        <w:t xml:space="preserve"> </w:t>
      </w:r>
      <w:r>
        <w:t xml:space="preserve">Fees for certification of interior designers.</w:t>
      </w:r>
    </w:p>
    <w:p>
      <w:pPr>
        <w:pStyle w:val="kar_markup_metadata"/>
      </w:pPr>
      <w:r>
        <w:t xml:space="preserve">RELATES TO: </w:t>
      </w:r>
      <w:r>
        <w:t xml:space="preserve">KRS 323.400-323.416</w:t>
      </w:r>
    </w:p>
    <w:p>
      <w:pPr>
        <w:pStyle w:val="kar_markup_metadata"/>
      </w:pPr>
      <w:r>
        <w:t xml:space="preserve">STATUTORY AUTHORITY: </w:t>
      </w:r>
      <w:r>
        <w:t xml:space="preserve">KRS 323.210(2), 323.406(2)</w:t>
      </w:r>
    </w:p>
    <w:p>
      <w:pPr>
        <w:pStyle w:val="kar_markup_metadata"/>
      </w:pPr>
      <w:r>
        <w:t xml:space="preserve">NECESSITY, FUNCTION, AND CONFORMITY: </w:t>
      </w:r>
      <w:r>
        <w:t xml:space="preserve">KRS 323.210(2) authorizes the board to promulgate administrative regulations necessary to carry out the purposes of KRS Chapter 323. KRS 323.406(2) authorizes the board to promulgate administrative regulations to establish an initial certification fee and a renewal fee for certified interior designers. KRS 323.416(1) requires the board to establish forms upon which applicants for renewal may demonstrate completion of the renewal requirements. This administrative regulation establishes the fees related to certified interior designers.</w:t>
      </w:r>
    </w:p>
    <w:p>
      <w:pPr>
        <w:pStyle w:val="kar_section"/>
      </w:pPr>
      <w:r>
        <w:t xml:space="preserve">Section 1.</w:t>
      </w:r>
      <w:r>
        <w:t xml:space="preserve"> </w:t>
      </w:r>
      <w:r>
        <w:t xml:space="preserve">Fee Schedule.</w:t>
      </w:r>
    </w:p>
    <w:p>
      <w:pPr>
        <w:pStyle w:val="kar_subsection"/>
      </w:pPr>
      <w:r>
        <w:t xml:space="preserve">(1)</w:t>
      </w:r>
      <w:r>
        <w:t xml:space="preserve"> </w:t>
      </w:r>
      <w:r>
        <w:t xml:space="preserve">The initial certification application fee for a qualified person, not a licensed architect, shall be $100.</w:t>
      </w:r>
    </w:p>
    <w:p>
      <w:pPr>
        <w:pStyle w:val="kar_subsection"/>
      </w:pPr>
      <w:r>
        <w:t xml:space="preserve">(2)</w:t>
      </w:r>
      <w:r>
        <w:t xml:space="preserve"> </w:t>
      </w:r>
      <w:r>
        <w:t xml:space="preserve">The fee for initial certification, including a certificate, shall be $250.</w:t>
      </w:r>
    </w:p>
    <w:p>
      <w:pPr>
        <w:pStyle w:val="kar_subsection"/>
      </w:pPr>
      <w:r>
        <w:t xml:space="preserve">(3)</w:t>
      </w:r>
      <w:r>
        <w:t xml:space="preserve"> </w:t>
      </w:r>
      <w:r>
        <w:t xml:space="preserve">The fee for initial certification for a licensed architect, including a certificate, shall be $150.</w:t>
      </w:r>
    </w:p>
    <w:p>
      <w:pPr>
        <w:pStyle w:val="kar_subsection"/>
      </w:pPr>
      <w:r>
        <w:t xml:space="preserve">(4)</w:t>
      </w:r>
      <w:r>
        <w:t xml:space="preserve"> </w:t>
      </w:r>
      <w:r>
        <w:t xml:space="preserve">The fee for certification renewal shall be $200.</w:t>
      </w:r>
    </w:p>
    <w:p>
      <w:pPr>
        <w:pStyle w:val="kar_section"/>
      </w:pPr>
      <w:r>
        <w:t xml:space="preserve">Section 2.</w:t>
      </w:r>
      <w:r>
        <w:t xml:space="preserve"> </w:t>
      </w:r>
    </w:p>
    <w:p>
      <w:pPr>
        <w:pStyle w:val="kar_subsection"/>
      </w:pPr>
      <w:r>
        <w:t xml:space="preserve">(1)</w:t>
      </w:r>
      <w:r>
        <w:t xml:space="preserve"> </w:t>
      </w:r>
      <w:r>
        <w:t xml:space="preserve">Each payment shall be by check made payable to "Kentucky State Treasurer".</w:t>
      </w:r>
    </w:p>
    <w:p>
      <w:pPr>
        <w:pStyle w:val="kar_subsection"/>
      </w:pPr>
      <w:r>
        <w:t xml:space="preserve">(2)</w:t>
      </w:r>
      <w:r>
        <w:t xml:space="preserve"> </w:t>
      </w:r>
      <w:r>
        <w:t xml:space="preserve">Fees shall not be refundable.</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635, 1551;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4404d6e76c4f36" /><Relationship Type="http://schemas.openxmlformats.org/officeDocument/2006/relationships/settings" Target="/word/settings.xml" Id="R8d476db6e3b74324" /></Relationships>
</file>