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dc585873f34d8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20:085.</w:t>
      </w:r>
      <w:r>
        <w:t xml:space="preserve"> </w:t>
      </w:r>
      <w:r>
        <w:t xml:space="preserve">Licensure periods and miscellaneous requirements.</w:t>
      </w:r>
    </w:p>
    <w:p>
      <w:pPr>
        <w:pStyle w:val="kar_markup_metadata"/>
      </w:pPr>
      <w:r>
        <w:t xml:space="preserve">RELATES TO: </w:t>
      </w:r>
      <w:r>
        <w:t xml:space="preserve">KRS 314.041, 314.051, 314.071, 314.073</w:t>
      </w:r>
    </w:p>
    <w:p>
      <w:pPr>
        <w:pStyle w:val="kar_markup_metadata"/>
      </w:pPr>
      <w:r>
        <w:t xml:space="preserve">STATUTORY AUTHORITY: </w:t>
      </w:r>
      <w:r>
        <w:t xml:space="preserve">KRS 314.071, 314.131</w:t>
      </w:r>
    </w:p>
    <w:p>
      <w:pPr>
        <w:pStyle w:val="kar_markup_metadata"/>
      </w:pPr>
      <w:r>
        <w:t xml:space="preserve">NECESSITY, FUNCTION, AND CONFORMITY: </w:t>
      </w:r>
      <w:r>
        <w:t xml:space="preserve">KRS 314.071 requires the board to establish licensure periods for licenses issued by the board. This administrative regulation establishes the licensure periods. It also establishes miscellaneous requirements.</w:t>
      </w:r>
    </w:p>
    <w:p>
      <w:pPr>
        <w:pStyle w:val="kar_section"/>
      </w:pPr>
      <w:r>
        <w:t xml:space="preserve">Section 1.</w:t>
      </w:r>
      <w:r>
        <w:t xml:space="preserve"> 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 nursing license or credential issued during the first six (6) months of a licensure period shall expire at the end (October 31) of the current licensure period.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A nursing license or credential issued during the last six (6) months of a licensure period shall expire at the end (October 31) of the succeeding licensure period.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Licensure Periods. (1) The licensure period for all licenses and credentials, except for provisional, inactive, and retired status licenses, shall be for one (1) year beginning on November 1.</w:t>
      </w:r>
    </w:p>
    <w:p>
      <w:pPr>
        <w:pStyle w:val="kar_section"/>
      </w:pPr>
      <w:r>
        <w:t xml:space="preserve">Section 3.</w:t>
      </w:r>
      <w:r>
        <w:t xml:space="preserve"> </w:t>
      </w:r>
      <w:r>
        <w:t xml:space="preserve">For the purposes of the practice of nursing, a nurse shall use the name under which he or she is licensed with the board of nursing.</w:t>
      </w:r>
    </w:p>
    <w:p>
      <w:pPr>
        <w:pStyle w:val="kar_section"/>
      </w:pPr>
      <w:r>
        <w:t xml:space="preserve">Section 4.</w:t>
      </w:r>
      <w:r>
        <w:t xml:space="preserve"> 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 nurse shall provide the board with an electronic mail (email) address to receive communications from the board.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This requirement shall also apply to dialysis technicians and certified professional midwives.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The email address provided shall be exempt from disclosure pursuant to KRS 61.878(1)(a).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(9 Ky.R. 289; eff. 9-8-1982; Am. 11 Ky.R. 1623; eff. 6-4-1985; 21 Ky.R. 1748; eff. 2-15-1995; 31 Ky.R. 794; 1056; eff. 1-4-2005; 38 Ky.R. 1185; 1437; eff. 2-15-2012; 39 Ky.R. 2196 eff. 7-17-2013; 47 Ky.R. 553; eff. 12-15-2020.)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b314d965a024e4c" /><Relationship Type="http://schemas.openxmlformats.org/officeDocument/2006/relationships/settings" Target="/word/settings.xml" Id="R6a5b52ee335c4d4d" /></Relationships>
</file>