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ca746813544674" /></Relationships>
</file>

<file path=word/document.xml><?xml version="1.0" encoding="utf-8"?>
<w:document xmlns:w="http://schemas.openxmlformats.org/wordprocessingml/2006/main">
  <w:body>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314.011(5), 314.021, 314.041(1)(a), 314.111(1), 314.131(1), (2)</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(4)</w:t>
      </w:r>
      <w:r>
        <w:t xml:space="preserve"> </w:t>
      </w:r>
      <w:r>
        <w:t xml:space="preserve">"Program of nursing" means the educational unit that prepares a person for licensure as a registered or licensed practical nurse.</w:t>
      </w:r>
    </w:p>
    <w:p>
      <w:pPr>
        <w:pStyle w:val="kar_subsection"/>
      </w:pPr>
      <w:r>
        <w:t xml:space="preserve">(5)</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(6)</w:t>
      </w:r>
      <w:r>
        <w:t xml:space="preserve"> </w:t>
      </w:r>
      <w:r>
        <w:t xml:space="preserve">"Remediation" means the process by which a student improves or corrects a knowledge deficit.</w:t>
      </w:r>
    </w:p>
    <w:p>
      <w:pPr>
        <w:pStyle w:val="kar_subsection"/>
      </w:pPr>
      <w:r>
        <w:t xml:space="preserve">(7)</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201 KAR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 This subparagraph shall be implemented by January 1, 2020.</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An external examination is a standardized or norm-referenced examination that is designed to compare and rank test takers in relation to one another and is not produced by the program of nursing.</w:t>
      </w:r>
    </w:p>
    <w:p>
      <w:pPr>
        <w:pStyle w:val="kar_subsection"/>
      </w:pPr>
      <w:r>
        <w:t xml:space="preserve">(2)</w:t>
      </w:r>
      <w:r>
        <w:t xml:space="preserve"> </w:t>
      </w:r>
      <w:r>
        <w:t xml:space="preserve">A program of nursing shall not use an external examination to determine a student's progression or graduation.</w:t>
      </w:r>
    </w:p>
    <w:p>
      <w:pPr>
        <w:pStyle w:val="kar_subsection"/>
      </w:pPr>
      <w:r>
        <w:t xml:space="preserve">(3)</w:t>
      </w:r>
      <w:r>
        <w:t xml:space="preserve"> </w:t>
      </w:r>
      <w:r>
        <w:t xml:space="preserve">An external examination may be used to assist in the remediation of a student The examination shall not be the sole remediation strategy.</w:t>
      </w:r>
    </w:p>
    <w:p>
      <w:pPr>
        <w:pStyle w:val="kar_subsection"/>
      </w:pPr>
      <w:r>
        <w:t xml:space="preserve">(4)</w:t>
      </w:r>
      <w:r>
        <w:t xml:space="preserve"> </w:t>
      </w:r>
      <w:r>
        <w:t xml:space="preserve">A program of nursing that utilizes an external examination as the basis for requiring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shall clearly outline the role of the external examination in remediation.</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 or for placing the student's name on the Certified List of Kentucky Program of Nursing Graduates pursuant to 201 KAR 20:070.</w:t>
      </w:r>
    </w:p>
    <w:p>
      <w:pPr>
        <w:pStyle w:val="kar_section"/>
      </w:pPr>
      <w:r>
        <w:t xml:space="preserve">Section 5.</w:t>
      </w:r>
      <w:r>
        <w:t xml:space="preserve"> </w:t>
      </w:r>
      <w:r>
        <w:t xml:space="preserve">Statutory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 pediatric abusive head trauma as it is defined in KRS 620.020.</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1705; eff. 6-4-1985; 14 Ky.R. 593; eff. 11-6-1987; 30 Ky.R. 77; 578; eff. 8-20-2003; 34 Ky.R. 347; 713; eff. 10-17-2007; 40 Ky.R. 1347; 1722; eff. 2-19-2014; 42 Ky.R. 2425, 2583, 2723; eff. 6-3-2016; 45 Ky.R. 1759, 2593; eff. 3-13-2019; 46 Ky.R. 2989, 2691; 47 Ky.R. 769;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016885eac344ef" /><Relationship Type="http://schemas.openxmlformats.org/officeDocument/2006/relationships/settings" Target="/word/settings.xml" Id="Rbd81a67808314510" /></Relationships>
</file>