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57aec95ca44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20:362.</w:t>
      </w:r>
      <w:r>
        <w:t xml:space="preserve"> </w:t>
      </w:r>
      <w:r>
        <w:t xml:space="preserve">Fines for schools of nursing.</w:t>
      </w:r>
    </w:p>
    <w:p>
      <w:pPr>
        <w:pStyle w:val="kar_markup_metadata"/>
      </w:pPr>
      <w:r>
        <w:t xml:space="preserve">RELATES TO: </w:t>
      </w:r>
      <w:r>
        <w:t xml:space="preserve">KRS 314.111(4)</w:t>
      </w:r>
    </w:p>
    <w:p>
      <w:pPr>
        <w:pStyle w:val="kar_markup_metadata"/>
      </w:pPr>
      <w:r>
        <w:t xml:space="preserve">STATUTORY AUTHORITY: </w:t>
      </w:r>
      <w:r>
        <w:t xml:space="preserve">KRS 314.111(4), 314.131(1)</w:t>
      </w:r>
    </w:p>
    <w:p>
      <w:pPr>
        <w:pStyle w:val="kar_markup_metadata"/>
      </w:pPr>
      <w:r>
        <w:t xml:space="preserve">NECESSITY, FUNCTION, AND CONFORMITY: </w:t>
      </w:r>
      <w:r>
        <w:t xml:space="preserve">KRS 314.131 authorizes the board to promulgate administrative regulations to implement KRS Chapter 314. KRS 314.111(4) authorizes the Board to fine a school of nursing that fails to comply with the requirements of the administrative regulations governing programs of nursing. This administrative regulation implements KRS 314.111(4).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"Compliance issue" means a failure to comply with a requirement of 201 KAR 20:260 through 20:360.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"Deficiency" means a failure to meet a standard set by 201 KAR 20:260 through 20:360.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school of nursing is in violation of KRS 314.111(4) when it: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Receives notice of a deficiency or a compliance issue;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Is given the expectation of the board for correction;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Is given a date by which the correction is expected; and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Fails to make the correction by that date.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school of nursing shall comply with all deadlines set by 201 KAR 20:260 through 20:360. Failure to do so shall constitute a compliance issue.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fine for a violation of KRS 314.111(4) shall be $500 per day or a portion thereof.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board shall send notice of the amount due to the school of nursing.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school shall either: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Remit the amount due within thirty (30) days;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Request an administrative hearing in accordance with KRS Chapter 13B to contest the fine.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Failure to take either step shall subject the school of nursing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collection action in the court of competent jurisdiction;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administrative hearing in accordance with KRS Chapter 13B to determine whether the school of nursing shall be closed.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(201 KAR 020:362. 45 Ky.R. 1854, 2597; eff. 3-13-2019; Crt eff. 1-8-2026.)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eb0b355a044ba2" /><Relationship Type="http://schemas.openxmlformats.org/officeDocument/2006/relationships/settings" Target="/word/settings.xml" Id="R457e4432c3d34eb0" /></Relationships>
</file>