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0300e2f92746c1"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form for agency receipt 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specified in KRS 314.025(2):</w:t>
      </w:r>
    </w:p>
    <w:p>
      <w:pPr>
        <w:pStyle w:val="kar_paragraph"/>
      </w:pPr>
      <w:r>
        <w:t xml:space="preserve">(a)</w:t>
      </w:r>
      <w:r>
        <w:t xml:space="preserve"> </w:t>
      </w:r>
      <w:r>
        <w:t xml:space="preserve">Licensed practical nurses, twenty (20) points;</w:t>
      </w:r>
    </w:p>
    <w:p>
      <w:pPr>
        <w:pStyle w:val="kar_paragraph"/>
      </w:pPr>
      <w:r>
        <w:t xml:space="preserve">(b)</w:t>
      </w:r>
      <w:r>
        <w:t xml:space="preserve"> </w:t>
      </w:r>
      <w:r>
        <w:t xml:space="preserve">Registered nurses pursuing graduate nursing education, twenty (20) points; and</w:t>
      </w:r>
    </w:p>
    <w:p>
      <w:pPr>
        <w:pStyle w:val="kar_paragraph"/>
      </w:pPr>
      <w:r>
        <w:t xml:space="preserve">(c)</w:t>
      </w:r>
      <w:r>
        <w:t xml:space="preserve"> </w:t>
      </w:r>
      <w:r>
        <w:t xml:space="preserve">Financially-needy Kentucky residents, up to thirty-five (35) points. Financial need shall be determined by the estimated Federal Expected Family Contribution (EFC) as calculated by the annual FAFSA and points will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form for agency receipt 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specified by the program of nursing; or</w:t>
      </w:r>
    </w:p>
    <w:p>
      <w:pPr>
        <w:pStyle w:val="kar_paragraph"/>
      </w:pPr>
      <w:r>
        <w:t xml:space="preserve">(b)</w:t>
      </w:r>
      <w:r>
        <w:t xml:space="preserve"> </w:t>
      </w:r>
      <w:r>
        <w:t xml:space="preserve">Required employment as specified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"Nursing Incentive Scholarship Fund Application", 12/01;</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2082; Am. 2428; eff. 2-7-1991; 18 Ky.R. 2874; eff. 5-1-1992; 20 Ky.R. 387; eff. 10-13-1993; 21 Ky.R. 484; 1028; eff. 9-21-1994; 23 Ky.R. 2534; 3006; eff. 2-19-1997; 24 Ky.R. 1116; 1502; eff. 1-12-1998; 26 Ky.R. 1411; 1680; eff. 2-16-2000; 27 Ky.R. 2554; eff. 5-14-2001; 1680; 2015; eff. 3-14-2002; 29 Ky.R. 1304; eff. 1-15-2003; 30 Ky.R. 389; eff. 10-15-2003; 32 Ky.R. 299; eff. 10-19-2005; 33 Ky.R. 2356; eff. 5-4-2007; 40 Ky.R. 1349; 1723; eff. 2-19-2014; 42 Ky.R. 499; 1145; eff. 11-6-2015; 47 Ky.R. 772, 1373; eff. 2-4-2021; TAm eff. 7-12-2022; 49 Ky.R. 1815, 2282;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fc61736cea4f20" /><Relationship Type="http://schemas.openxmlformats.org/officeDocument/2006/relationships/settings" Target="/word/settings.xml" Id="Rec5215da8bd747c4" /></Relationships>
</file>