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75039ffcb149e0" /></Relationships>
</file>

<file path=word/document.xml><?xml version="1.0" encoding="utf-8"?>
<w:document xmlns:w="http://schemas.openxmlformats.org/wordprocessingml/2006/main">
  <w:body>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 and theInfusion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 Fifth Edition, 2016; and</w:t>
      </w:r>
    </w:p>
    <w:p>
      <w:pPr>
        <w:pStyle w:val="kar_paragraph"/>
      </w:pPr>
      <w:r>
        <w:t xml:space="preserve">(b)</w:t>
      </w:r>
      <w:r>
        <w:t xml:space="preserve"> </w:t>
      </w:r>
      <w:r>
        <w:t xml:space="preserve">"Infusion Therapy: Standards of Practice", 2016.</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2585; 31 Ky.R. 369; 546; eff. 9-15-2004; 32 Ky.R. 2324; 33 Ky.R. 382; eff. 9-1-2006; 36 Ky.R. 2073-A; 2312; eff. 6-15-2010; TAm eff. 7-15-2010; 37 Ky.R. 2446; 2830; eff. 6-15-2011; 38 Ky.R. 1764; 1945; eff. 6-20-2012; 45 Ky.R. 415, 948; eff. 11-2-2018.)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5e31bd55ac421e" /><Relationship Type="http://schemas.openxmlformats.org/officeDocument/2006/relationships/settings" Target="/word/settings.xml" Id="R0bf7b1d0be264567" /></Relationships>
</file>