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1e941b6e084238" /></Relationships>
</file>

<file path=word/document.xml><?xml version="1.0" encoding="utf-8"?>
<w:document xmlns:w="http://schemas.openxmlformats.org/wordprocessingml/2006/main">
  <w:body>
    <w:p>
      <w:pPr>
        <w:pStyle w:val="kar_citation"/>
      </w:pPr>
      <w:r>
        <w:t>201 KAR 22:170.</w:t>
      </w:r>
      <w:r>
        <w:t xml:space="preserve"> </w:t>
      </w:r>
      <w:r>
        <w:t xml:space="preserve">Physical Therapy Compact Commission.</w:t>
      </w:r>
    </w:p>
    <w:p>
      <w:pPr>
        <w:pStyle w:val="kar_markup_metadata"/>
      </w:pPr>
      <w:r>
        <w:t xml:space="preserve">RELATES TO: </w:t>
      </w:r>
      <w:r>
        <w:t xml:space="preserve">KRS 327.300(12)</w:t>
      </w:r>
    </w:p>
    <w:p>
      <w:pPr>
        <w:pStyle w:val="kar_markup_metadata"/>
      </w:pPr>
      <w:r>
        <w:t xml:space="preserve">STATUTORY AUTHORITY: </w:t>
      </w:r>
      <w:r>
        <w:t xml:space="preserve">KRS 327.300(12)</w:t>
      </w:r>
    </w:p>
    <w:p>
      <w:pPr>
        <w:pStyle w:val="kar_markup_metadata"/>
      </w:pPr>
      <w:r>
        <w:t xml:space="preserve">NECESSITY, FUNCTION, AND CONFORMITY: </w:t>
      </w:r>
      <w:r>
        <w:t xml:space="preserve">KRS 327.300(12) requires the Board of Physical Therapy to review any rule adopted by the Physical Therapy Compact Commission within sixty (60) days of adoption for the purpose of filing the rule as an emergency administrative regulation pursuant to KRS Chapter 13A.190 and for filing the rule as an accompanying ordinary administrative regulation, following the requirements of KRS Chapter 13A. This administrative regulation sets forth the Rules adopted by the Physical Therapy Compact Commission.</w:t>
      </w:r>
    </w:p>
    <w:p>
      <w:pPr>
        <w:pStyle w:val="kar_section"/>
      </w:pPr>
      <w:r>
        <w:t xml:space="preserve">Section 1.</w:t>
      </w:r>
      <w:r>
        <w:t xml:space="preserve"> </w:t>
      </w:r>
      <w:r>
        <w:t xml:space="preserve">The Kentucky Board of Physical Therapy shall comply with all bylaws, rules, and administrative regulations of the Physical Therapy Compact Commission, which includes the Physical Therapy Compact Commission Rules and Bylaws.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"Physical Therapy Compact Commission Rules", October 2020; and</w:t>
      </w:r>
    </w:p>
    <w:p>
      <w:pPr>
        <w:pStyle w:val="kar_paragraph"/>
      </w:pPr>
      <w:r>
        <w:t xml:space="preserve">(b)</w:t>
      </w:r>
      <w:r>
        <w:t xml:space="preserve"> </w:t>
      </w:r>
      <w:r>
        <w:t xml:space="preserve">"Physical Therapy Compact Commission Bylaws", October 2020.</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Board of Physical Therapy, 312 Whittington Parkway, Suite 102, Louisville, Kentucky 40222, Monday through Friday, 8 a.m. to 4:30 p.m.; or</w:t>
      </w:r>
    </w:p>
    <w:p>
      <w:pPr>
        <w:pStyle w:val="kar_paragraph"/>
      </w:pPr>
      <w:r>
        <w:t xml:space="preserve">(b)</w:t>
      </w:r>
      <w:r>
        <w:t xml:space="preserve"> </w:t>
      </w:r>
      <w:r>
        <w:t xml:space="preserve">This material may be obtained on the Kentucky Board of Physical Therapy's Web site at https://pt.ky.gov.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Physical Therapy Compact Commission, 124 West Street South, Third Floor, Alexandria, Virginia, 22314; or</w:t>
      </w:r>
    </w:p>
    <w:p>
      <w:pPr>
        <w:pStyle w:val="kar_paragraph"/>
      </w:pPr>
      <w:r>
        <w:t xml:space="preserve">(b)</w:t>
      </w:r>
      <w:r>
        <w:t xml:space="preserve"> </w:t>
      </w:r>
      <w:r>
        <w:t xml:space="preserve">http://www.ptcompact.org.</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1976; eff. 3-15-2018; 45 Ky.R. 422, 951; eff. 11-2-2018; 2164; eff. 3-13-2019; 2108; eff. 6-30-2020; 47 Ky.R. 1424;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ce4b4cf908487a" /><Relationship Type="http://schemas.openxmlformats.org/officeDocument/2006/relationships/settings" Target="/word/settings.xml" Id="Reac724707e384908" /></Relationships>
</file>