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a1a31e91c14b65" /></Relationships>
</file>

<file path=word/document.xml><?xml version="1.0" encoding="utf-8"?>
<w:document xmlns:w="http://schemas.openxmlformats.org/wordprocessingml/2006/main">
  <w:body>
    <w:p>
      <w:pPr>
        <w:pStyle w:val="kar_citation"/>
      </w:pPr>
      <w:r>
        <w:t>201 KAR 26:300.</w:t>
      </w:r>
      <w:r>
        <w:t xml:space="preserve"> </w:t>
      </w:r>
      <w:r>
        <w:t xml:space="preserve">Educational requirements for licensure as a licensed psychological practitioner.</w:t>
      </w:r>
    </w:p>
    <w:p>
      <w:pPr>
        <w:pStyle w:val="kar_markup_metadata"/>
      </w:pPr>
      <w:r>
        <w:t xml:space="preserve">RELATES TO: </w:t>
      </w:r>
      <w:r>
        <w:t xml:space="preserve">KRS 319.053</w:t>
      </w:r>
    </w:p>
    <w:p>
      <w:pPr>
        <w:pStyle w:val="kar_markup_metadata"/>
      </w:pPr>
      <w:r>
        <w:t xml:space="preserve">STATUTORY AUTHORITY: </w:t>
      </w:r>
      <w:r>
        <w:t xml:space="preserve">KRS 319.032</w:t>
      </w:r>
    </w:p>
    <w:p>
      <w:pPr>
        <w:pStyle w:val="kar_markup_metadata"/>
      </w:pPr>
      <w:r>
        <w:t xml:space="preserve">NECESSITY, FUNCTION, AND CONFORMITY: </w:t>
      </w:r>
      <w:r>
        <w:t xml:space="preserve">KRS 319.053(1)(f) requires an applicant for licensure as a licensed psychological practitioner to document at least sixty (60) hours of graduate study in psychology or a related field acceptable to the board. This administrative regulation establishes requirements for the hours of graduate study.</w:t>
      </w:r>
    </w:p>
    <w:p>
      <w:pPr>
        <w:pStyle w:val="kar_section"/>
      </w:pPr>
      <w:r>
        <w:t xml:space="preserve">Section 1.</w:t>
      </w:r>
      <w:r>
        <w:t xml:space="preserve"> </w:t>
      </w:r>
      <w:r>
        <w:t xml:space="preserve">Educational Requirements.</w:t>
      </w:r>
    </w:p>
    <w:p>
      <w:pPr>
        <w:pStyle w:val="kar_subsection"/>
      </w:pPr>
      <w:r>
        <w:t xml:space="preserve">(1)</w:t>
      </w:r>
      <w:r>
        <w:t xml:space="preserve"> </w:t>
      </w:r>
      <w:r>
        <w:t xml:space="preserve">Graduate course work shall be related to psychological practice and may include independent study and distance learning. All graduate course work shall have been offered by a regionally accredited university meeting the standards described in Sections 2 and 3 of this administrative regulation. Continuing education credits shall not qualify to meet this requirement.</w:t>
      </w:r>
    </w:p>
    <w:p>
      <w:pPr>
        <w:pStyle w:val="kar_subsection"/>
      </w:pPr>
      <w:r>
        <w:t xml:space="preserve">(2)</w:t>
      </w:r>
      <w:r>
        <w:t xml:space="preserve"> </w:t>
      </w:r>
      <w:r>
        <w:t xml:space="preserve">The applicant shall provide any documentation required by the board in the manner and form prescribed by the board to confirm compliance with or satisfaction of the requirements of this law.</w:t>
      </w:r>
    </w:p>
    <w:p>
      <w:pPr>
        <w:pStyle w:val="kar_subsection"/>
      </w:pPr>
      <w:r>
        <w:t xml:space="preserve">(3)</w:t>
      </w:r>
      <w:r>
        <w:t xml:space="preserve"> </w:t>
      </w:r>
      <w:r>
        <w:t xml:space="preserve">At the discretion of the board, any deficiency in course work or other requirements may be corrected by appropriate remedial work.</w:t>
      </w:r>
    </w:p>
    <w:p>
      <w:pPr>
        <w:pStyle w:val="kar_section"/>
      </w:pPr>
      <w:r>
        <w:t xml:space="preserve">Section 2.</w:t>
      </w:r>
      <w:r>
        <w:t xml:space="preserve"> </w:t>
      </w:r>
      <w:r>
        <w:t xml:space="preserve">A regionally-accredited educational institution shall be accredited by any one (1) of the following: Southern Association of Colleges and Schools, Middle States Association of Colleges and Schools, New England Association of Colleges and Schools, North Central Association of Colleges and Schools, North Western Association of Schools and Colleges, and Western Association of Schools and Colleges.</w:t>
      </w:r>
    </w:p>
    <w:p>
      <w:pPr>
        <w:pStyle w:val="kar_section"/>
      </w:pPr>
      <w:r>
        <w:t xml:space="preserve">Section 3.</w:t>
      </w:r>
      <w:r>
        <w:t xml:space="preserve"> </w:t>
      </w:r>
      <w:r>
        <w:t xml:space="preserve">Accreditation shall be by one (1) of the aforementioned associations at Level 3 (master's degree granting accreditation).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1522; 1821; eff. 2-7-2002.)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e9f851c0794509" /><Relationship Type="http://schemas.openxmlformats.org/officeDocument/2006/relationships/settings" Target="/word/settings.xml" Id="Rd70067fc984e494d" /></Relationships>
</file>