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550eb6fb054c67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Boards and Commissions</w:t>
      </w:r>
    </w:p>
    <w:p>
      <w:pPr>
        <w:pStyle w:val="kar_markup_header"/>
      </w:pPr>
      <w:r>
        <w:t xml:space="preserve">Kentucky Boxing and Wrestling Commission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201 KAR 27:080.</w:t>
      </w:r>
      <w:r>
        <w:t xml:space="preserve"> </w:t>
      </w:r>
      <w:r>
        <w:t xml:space="preserve">Miscellaneous provisions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21557a5205f49b2" /><Relationship Type="http://schemas.openxmlformats.org/officeDocument/2006/relationships/settings" Target="/word/settings.xml" Id="Raab6a385f0e745f4" /></Relationships>
</file>