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7f9b33350c49ed" /></Relationships>
</file>

<file path=word/document.xml><?xml version="1.0" encoding="utf-8"?>
<w:document xmlns:w="http://schemas.openxmlformats.org/wordprocessingml/2006/main">
  <w:body>
    <w:p>
      <w:pPr>
        <w:pStyle w:val="kar_citation"/>
      </w:pPr>
      <w:r>
        <w:t>201 KAR 28:220.</w:t>
      </w:r>
      <w:r>
        <w:t xml:space="preserve"> </w:t>
      </w:r>
      <w:r>
        <w:t xml:space="preserve">Per diem of board members.</w:t>
      </w:r>
    </w:p>
    <w:p>
      <w:pPr>
        <w:pStyle w:val="kar_markup_metadata"/>
      </w:pPr>
      <w:r>
        <w:t xml:space="preserve">RELATES TO: </w:t>
      </w:r>
      <w:r>
        <w:t xml:space="preserve">KRS 319A.030</w:t>
      </w:r>
    </w:p>
    <w:p>
      <w:pPr>
        <w:pStyle w:val="kar_markup_metadata"/>
      </w:pPr>
      <w:r>
        <w:t xml:space="preserve">STATUTORY AUTHORITY: </w:t>
      </w:r>
      <w:r>
        <w:t xml:space="preserve">KRS 319A.030, 319A.070(1), (3)(a)</w:t>
      </w:r>
    </w:p>
    <w:p>
      <w:pPr>
        <w:pStyle w:val="kar_markup_metadata"/>
      </w:pPr>
      <w:r>
        <w:t xml:space="preserve">NECESSITY, FUNCTION, AND CONFORMITY: </w:t>
      </w:r>
      <w:r>
        <w:t xml:space="preserve">KRS 319A.070(3)(a) authorizes the board to promulgate administrative regulations and administer the provisions of KRS Chapter 319A. KRS 319A.030 authorizes board members to receive a per diem as provided by law for members of state boards, commissions, and committees. This administrative regulation sets out the per diem amount members will receive when required to represent the board or attend its meetings.</w:t>
      </w:r>
    </w:p>
    <w:p>
      <w:pPr>
        <w:pStyle w:val="kar_section"/>
      </w:pPr>
      <w:r>
        <w:t xml:space="preserve">Section 1.</w:t>
      </w:r>
      <w:r>
        <w:t xml:space="preserve"> </w:t>
      </w:r>
      <w:r>
        <w:t xml:space="preserve">Each member of the board shall receive a per diem of $200 for attending each meeting of the board or otherwise representing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1214; eff. 12-11-2006; Am. 41 Ky.R. 1443; eff. 5-1-2015; Cert. eff. 4-15-2022.)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24be5a38ee497c" /><Relationship Type="http://schemas.openxmlformats.org/officeDocument/2006/relationships/settings" Target="/word/settings.xml" Id="R3f25bf508f4c44cb" /></Relationships>
</file>