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2d0f3468b42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29:040.</w:t>
      </w:r>
      <w:r>
        <w:t xml:space="preserve"> </w:t>
      </w:r>
      <w:r>
        <w:t xml:space="preserve">Posthearing procedures.</w:t>
      </w:r>
    </w:p>
    <w:p>
      <w:pPr>
        <w:pStyle w:val="kar_markup_metadata"/>
      </w:pPr>
      <w:r>
        <w:t xml:space="preserve">RELATES TO: </w:t>
      </w:r>
      <w:r>
        <w:t xml:space="preserve">KRS Chapter 13B, 314A.225</w:t>
      </w:r>
    </w:p>
    <w:p>
      <w:pPr>
        <w:pStyle w:val="kar_markup_metadata"/>
      </w:pPr>
      <w:r>
        <w:t xml:space="preserve">STATUTORY AUTHORITY: </w:t>
      </w:r>
      <w:r>
        <w:t xml:space="preserve">KRS 314A.205</w:t>
      </w:r>
    </w:p>
    <w:p>
      <w:pPr>
        <w:pStyle w:val="kar_markup_metadata"/>
      </w:pPr>
      <w:r>
        <w:t xml:space="preserve">NECESSITY, FUNCTION, AND CONFORMITY: </w:t>
      </w:r>
      <w:r>
        <w:t xml:space="preserve">KRS 314A.225 mandates a hearing upon the filing of a complaint alleging a violation of KRS Chapter 314A or the administrative regulations promulgated thereunder. This administrative regulation establishes procedures following the conducting of a hearing pursuant to KRS Chapter 13B.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Notification of Final Decision of the Board of Directors. The board, upon completion of the hearing and final approval, shall send notification to the following: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Certificate holder;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Employer;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Appropriate national and state agencies; and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National Board of Respiratory Care, or its equivalent.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(19 Ky.R. 836; 1071; eff. 11-9-92; 27 Ky.R. 3134; eff. 7-16-2001; Crt eff. 12-6-2019.)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02ecf6fb0346c7" /><Relationship Type="http://schemas.openxmlformats.org/officeDocument/2006/relationships/settings" Target="/word/settings.xml" Id="R0620275ca9cd46ad" /></Relationships>
</file>