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b573686a004231" /></Relationships>
</file>

<file path=word/document.xml><?xml version="1.0" encoding="utf-8"?>
<w:document xmlns:w="http://schemas.openxmlformats.org/wordprocessingml/2006/main">
  <w:body>
    <w:p>
      <w:pPr>
        <w:pStyle w:val="kar_citation"/>
      </w:pPr>
      <w:r>
        <w:t>12 KAR 2:051.</w:t>
      </w:r>
      <w:r>
        <w:t xml:space="preserve"> </w:t>
      </w:r>
      <w:r>
        <w:t xml:space="preserve">Manufacturing conditions.</w:t>
      </w:r>
    </w:p>
    <w:p>
      <w:pPr>
        <w:pStyle w:val="kar_markup_metadata"/>
      </w:pPr>
      <w:r>
        <w:t xml:space="preserve">RELATES TO: </w:t>
      </w:r>
      <w:r>
        <w:t xml:space="preserve">KRS 250.501, 250.511, 250.541, 250.551, 250.581(1), 21 C.F.R. 225.1-225.202, 226.1-226.115</w:t>
      </w:r>
    </w:p>
    <w:p>
      <w:pPr>
        <w:pStyle w:val="kar_markup_metadata"/>
      </w:pPr>
      <w:r>
        <w:t xml:space="preserve">STATUTORY AUTHORITY: </w:t>
      </w:r>
      <w:r>
        <w:t xml:space="preserve">KRS 250.541(c), 250.571(1), 21 C.F.R. 225.1-225.202, 226.1-226.115</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KRS 250.541(2)(c) requires the promulgation of an administrative regulation that establishes the current good manufacturing practices for the manufacturing, processing, and packaging of commercial feed. This administrative regulation establishes current good manufacturing practices, hazard analysis, and risk-based preventive controls for facilities engaged in holding and distribution of animal feed.</w:t>
      </w:r>
    </w:p>
    <w:p>
      <w:pPr>
        <w:pStyle w:val="kar_section"/>
      </w:pPr>
      <w:r>
        <w:t xml:space="preserve">Section 1.</w:t>
      </w:r>
      <w:r>
        <w:t xml:space="preserve"> </w:t>
      </w:r>
      <w:r>
        <w:t xml:space="preserve">The current good manufacturing practices published in the Code of Federal Regulations for Type B and Type C medicated feeds are governed by 21 C.F.R. 225.1 through 225.202.</w:t>
      </w:r>
    </w:p>
    <w:p>
      <w:pPr>
        <w:pStyle w:val="kar_section"/>
      </w:pPr>
      <w:r>
        <w:t xml:space="preserve">Section 2.</w:t>
      </w:r>
      <w:r>
        <w:t xml:space="preserve"> </w:t>
      </w:r>
      <w:r>
        <w:t xml:space="preserve">The current good manufacturing practices published in the Code of Federal Regulations for Type A medicated articles are governed by 21 C.F.R. 226.1 through 226.115.</w:t>
      </w:r>
    </w:p>
    <w:p>
      <w:pPr>
        <w:pStyle w:val="kar_section"/>
      </w:pPr>
      <w:r>
        <w:t xml:space="preserve">Section 3.</w:t>
      </w:r>
      <w:r>
        <w:t xml:space="preserve"> </w:t>
      </w:r>
      <w:r>
        <w:t xml:space="preserve">The current good manufacturing practices, hazard analysis, and risk-based preventive controls for food for animals published in the Code of Federal Regulations for facilities engaged in the holding and distribution of animal food are governed by 21 C.F.R. 507.1 through 507.215.</w:t>
      </w:r>
    </w:p>
    <w:p>
      <w:pPr>
        <w:pStyle w:val="kar_history"/>
        <w:sectPr>
          <w:pgSz w:w="12240" w:h="15840" w:orient="portrait" w:code="1"/>
          <w:pgMar w:top="1080" w:right="1080" w:bottom="1080" w:left="1080" w:header="720" w:footer="720" w:gutter="0"/>
          <w:paperSrc w:first="263" w:other="263"/>
          <w:noEndnote/>
          <w:docGrid w:linePitch="218"/>
        </w:sectPr>
      </w:pPr>
      <w:r>
        <w:t xml:space="preserve">(012 KAR 002:051. AES-2(1973)-10; 1 Ky.R. 1001; eff. 6-11-1975; 23 Ky.R. 1612; eff. 1-10-1997; 25 Ky.R. 894; 2357; eff. 4-14-1999; 45 Ky.R. 398; eff. 10-10-2018; Crt to Am; filed Am 9-11-2025.)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77efb49cbb4de3" /><Relationship Type="http://schemas.openxmlformats.org/officeDocument/2006/relationships/settings" Target="/word/settings.xml" Id="Rb4613273ecd54747" /></Relationships>
</file>