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50f199af3241b7" /></Relationships>
</file>

<file path=word/document.xml><?xml version="1.0" encoding="utf-8"?>
<w:document xmlns:w="http://schemas.openxmlformats.org/wordprocessingml/2006/main">
  <w:body>
    <w:p>
      <w:pPr>
        <w:pStyle w:val="kar_citation"/>
      </w:pPr>
      <w:r>
        <w:t>12 KAR 2:056.</w:t>
      </w:r>
      <w:r>
        <w:t xml:space="preserve"> </w:t>
      </w:r>
      <w:r>
        <w:t xml:space="preserve">List of manufacturers.</w:t>
      </w:r>
    </w:p>
    <w:p>
      <w:pPr>
        <w:pStyle w:val="kar_markup_metadata"/>
      </w:pPr>
      <w:r>
        <w:t xml:space="preserve">RELATES TO: </w:t>
      </w:r>
      <w:r>
        <w:t xml:space="preserve">KRS 250.491-250.631</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a current listing of facilities manufacturing commercial feed in the state to aid in the exchange of correspondence and collections of official feed samples.</w:t>
      </w:r>
    </w:p>
    <w:p>
      <w:pPr>
        <w:pStyle w:val="kar_section"/>
      </w:pPr>
      <w:r>
        <w:t xml:space="preserve">Section 1.</w:t>
      </w:r>
      <w:r>
        <w:t xml:space="preserve"> </w:t>
      </w:r>
      <w:r>
        <w:t xml:space="preserve">For the purpose of maintaining current files of feed manufacturers pursuant to KRS 250.511(1) of the Kentucky Feed Law, the list of manufacturers on file shall be evaluated quarterly and facilities not having current tonnage reports shall be removed.</w:t>
      </w:r>
    </w:p>
    <w:p>
      <w:pPr>
        <w:pStyle w:val="kar_section"/>
      </w:pPr>
      <w:r>
        <w:t xml:space="preserve">Section 2.</w:t>
      </w:r>
      <w:r>
        <w:t xml:space="preserve"> </w:t>
      </w:r>
      <w:r>
        <w:t xml:space="preserve">Firms removed shall be notified at the address of record and shall be given the opportunity of being reinstated if the division is notified that reinstatement is desired.</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002:056. AES-2(1973)-11; 1 Ky.R. 1001; eff. 6-11-1975; 45 Ky.R. 399;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fdf8abc2e84ea7" /><Relationship Type="http://schemas.openxmlformats.org/officeDocument/2006/relationships/settings" Target="/word/settings.xml" Id="R41632a605c884b3e" /></Relationships>
</file>