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8c312f78941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31:020.</w:t>
      </w:r>
      <w:r>
        <w:t xml:space="preserve"> </w:t>
      </w:r>
      <w:r>
        <w:t xml:space="preserve">Compensation of board members.</w:t>
      </w:r>
    </w:p>
    <w:p>
      <w:pPr>
        <w:pStyle w:val="kar_markup_metadata"/>
      </w:pPr>
      <w:r>
        <w:t xml:space="preserve">RELATES TO: </w:t>
      </w:r>
      <w:r>
        <w:t xml:space="preserve">KRS 322A.020(7)</w:t>
      </w:r>
    </w:p>
    <w:p>
      <w:pPr>
        <w:pStyle w:val="kar_markup_metadata"/>
      </w:pPr>
      <w:r>
        <w:t xml:space="preserve">STATUTORY AUTHORITY: </w:t>
      </w:r>
      <w:r>
        <w:t xml:space="preserve">KRS 322A.020(7), 322A.030</w:t>
      </w:r>
    </w:p>
    <w:p>
      <w:pPr>
        <w:pStyle w:val="kar_markup_metadata"/>
      </w:pPr>
      <w:r>
        <w:t xml:space="preserve">NECESSITY, FUNCTION, AND CONFORMITY: </w:t>
      </w:r>
      <w:r>
        <w:t xml:space="preserve">KRS 322A.020(7) requires the board to set the compensation for board members by administrative regulation. This administrative regulation sets the compensation of board members.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Eligible members of the board shall receive compensation in the amount of $150 per day for each day of actual board service and travel expenses to the extent authorized by 200 KAR Chapter 2.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 Ky.R. 451; eff. 10-8-93; 39 Ky.R. 2387; eff. 10-4-2013; Crt eff. 2-20-2020.)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dcb2e79e824bf1" /><Relationship Type="http://schemas.openxmlformats.org/officeDocument/2006/relationships/settings" Target="/word/settings.xml" Id="R392113c5414d459e" /></Relationships>
</file>