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a108474e64d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32:045.</w:t>
      </w:r>
      <w:r>
        <w:t xml:space="preserve"> </w:t>
      </w:r>
      <w:r>
        <w:t xml:space="preserve">Examination.</w:t>
      </w:r>
    </w:p>
    <w:p>
      <w:pPr>
        <w:pStyle w:val="kar_markup_metadata"/>
      </w:pPr>
      <w:r>
        <w:t xml:space="preserve">RELATES TO: </w:t>
      </w:r>
      <w:r>
        <w:t xml:space="preserve">KRS 335.320, 335.332(1)</w:t>
      </w:r>
    </w:p>
    <w:p>
      <w:pPr>
        <w:pStyle w:val="kar_markup_metadata"/>
      </w:pPr>
      <w:r>
        <w:t xml:space="preserve">STATUTORY AUTHORITY: </w:t>
      </w:r>
      <w:r>
        <w:t xml:space="preserve">KRS 335.320(9), 335.330</w:t>
      </w:r>
    </w:p>
    <w:p>
      <w:pPr>
        <w:pStyle w:val="kar_markup_metadata"/>
      </w:pPr>
      <w:r>
        <w:t xml:space="preserve">NECESSITY, FUNCTION, AND CONFORMITY: </w:t>
      </w:r>
      <w:r>
        <w:t xml:space="preserve">KRS 335.330 requires an applicant to pass a written examination prescribed by the board. This administrative regulation establishes the process for taking the examination.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Examination for Licensure.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applicant for licensure shall submit to a written examination in accordance with subsections (2) and (3) of this section.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applicant shall submit a completed Application for Permit as a Marriage and Family Therapist Associate.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applicant shall be required to pass the national exam offered through the Association of Marriage and Family Therapy Regulatory Board.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If an applicant for licensure fails the objective examination, the candidate shall, with payment of the required fee established in 201 KAR 32:030, be permitted to retake the examination.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candidate may continue to function as a marriage and family therapist associate under the supervision of the board-approved supervisor until: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examination is successfully completed;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supervisory contract is terminated;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candidate ceases to practice as a marriage and family therapist associate and notifies the board in writing.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Any request for deferment of the examination shall be made by the applicant directly to the testing agency, who shall have full discretion to grant or deny the request.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"Application for Permit as a Marriage and Family Therapist Associate", 6/2015,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Division of Occupations and Professions, 911 Leawood Drive,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279; Am. 726; eff. 10-20-99; 38 Ky.R. 1374; 1556; eff. 3-21-2012; 42 Ky.R. 840; 1555; 1722; eff. 12-16-2015; Expired 7 years after last effective date. (KRS 13A.3102) 12-16-2022.)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bed713154746cb" /><Relationship Type="http://schemas.openxmlformats.org/officeDocument/2006/relationships/settings" Target="/word/settings.xml" Id="R9a5fc92880834e96" /></Relationships>
</file>