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b4df0c25bf14701" /></Relationships>
</file>

<file path=word/document.xml><?xml version="1.0" encoding="utf-8"?>
<w:document xmlns:w="http://schemas.openxmlformats.org/wordprocessingml/2006/main">
  <w:body>
    <w:p>
      <w:pPr>
        <w:pStyle w:val="kar_citation"/>
      </w:pPr>
      <w:r>
        <w:t>201 KAR 35:025.</w:t>
      </w:r>
      <w:r>
        <w:t xml:space="preserve"> </w:t>
      </w:r>
      <w:r>
        <w:t xml:space="preserve">Examinations.</w:t>
      </w:r>
    </w:p>
    <w:p>
      <w:pPr>
        <w:pStyle w:val="kar_markup_metadata"/>
      </w:pPr>
      <w:r>
        <w:t xml:space="preserve">RELATES TO: </w:t>
      </w:r>
      <w:r>
        <w:t xml:space="preserve">KRS 309.083(5), 309.0831(5), 309.0832(4), 309.0833, 309.0830, 309.0834</w:t>
      </w:r>
    </w:p>
    <w:p>
      <w:pPr>
        <w:pStyle w:val="kar_markup_metadata"/>
      </w:pPr>
      <w:r>
        <w:t xml:space="preserve">STATUTORY AUTHORITY: </w:t>
      </w:r>
      <w:r>
        <w:t xml:space="preserve">KRS 309.0813(1), (4), (5)</w:t>
      </w:r>
    </w:p>
    <w:p>
      <w:pPr>
        <w:pStyle w:val="kar_markup_metadata"/>
      </w:pPr>
      <w:r>
        <w:t xml:space="preserve">NECESSITY, FUNCTION, AND CONFORMITY: </w:t>
      </w:r>
      <w:r>
        <w:t xml:space="preserve">KRS 309.0813(4) requires the board to promulgate an administrative regulation governing the administration and grading of the written examination, which applicants are required to successfully complete. This administrative regulation establishes those examination requirements for alcohol and drug peer support specialists, certified alcohol and drug counselors, licensed alcohol and drug counselors, licensed clinical alcohol and drug counselors, licensed clinical alcohol and drug counselor associates, and certified clinical supervisors.</w:t>
      </w:r>
    </w:p>
    <w:p>
      <w:pPr>
        <w:pStyle w:val="kar_section"/>
      </w:pPr>
      <w:r>
        <w:t xml:space="preserve">Section 1.</w:t>
      </w:r>
      <w:r>
        <w:t xml:space="preserve"> </w:t>
      </w:r>
      <w:r>
        <w:t xml:space="preserve">Comprehensive Examination.</w:t>
      </w:r>
    </w:p>
    <w:p>
      <w:pPr>
        <w:pStyle w:val="kar_subsection"/>
      </w:pPr>
      <w:r>
        <w:t xml:space="preserve">(1)</w:t>
      </w:r>
      <w:r>
        <w:t xml:space="preserve"> </w:t>
      </w:r>
      <w:r>
        <w:t xml:space="preserve">An applicant for registration as an alcohol and drug peer support specialist shall take the comprehensive examination offered by the International Certification and Reciprocity Consortium.</w:t>
      </w:r>
    </w:p>
    <w:p>
      <w:pPr>
        <w:pStyle w:val="kar_subsection"/>
      </w:pPr>
      <w:r>
        <w:t xml:space="preserve">(2)</w:t>
      </w:r>
      <w:r>
        <w:t xml:space="preserve"> </w:t>
      </w:r>
      <w:r>
        <w:t xml:space="preserve">An applicant for certification as a certified alcohol and drug counselor shall take the comprehensive examination offered by the International Certification and Reciprocity Consortium.</w:t>
      </w:r>
    </w:p>
    <w:p>
      <w:pPr>
        <w:pStyle w:val="kar_subsection"/>
      </w:pPr>
      <w:r>
        <w:t xml:space="preserve">(3)</w:t>
      </w:r>
      <w:r>
        <w:t xml:space="preserve"> </w:t>
      </w:r>
      <w:r>
        <w:t xml:space="preserve">An applicant for licensure as a licensed alcohol and drug counselor shall take the comprehensive examination offered by the International Certification and Reciprocity Consortium.</w:t>
      </w:r>
    </w:p>
    <w:p>
      <w:pPr>
        <w:pStyle w:val="kar_subsection"/>
      </w:pPr>
      <w:r>
        <w:t xml:space="preserve">(4)</w:t>
      </w:r>
      <w:r>
        <w:t xml:space="preserve"> </w:t>
      </w:r>
      <w:r>
        <w:t xml:space="preserve">An applicant for licensure as a licensed clinical alcohol and drug counselor and licensed clinical alcohol and drug counselor associate shall take the comprehensive examination offered by the International Certification and Reciprocity Consortium.</w:t>
      </w:r>
    </w:p>
    <w:p>
      <w:pPr>
        <w:pStyle w:val="kar_subsection"/>
      </w:pPr>
      <w:r>
        <w:t xml:space="preserve">(5)</w:t>
      </w:r>
      <w:r>
        <w:t xml:space="preserve"> </w:t>
      </w:r>
      <w:r>
        <w:t xml:space="preserve">An applicant for certification as a certified clinical supervisor shall take the comprehensive examination offered by the International Certification and Reciprocity Consortium.</w:t>
      </w:r>
    </w:p>
    <w:p>
      <w:pPr>
        <w:pStyle w:val="kar_section"/>
      </w:pPr>
      <w:r>
        <w:t xml:space="preserve">Section 2.</w:t>
      </w:r>
      <w:r>
        <w:t xml:space="preserve"> </w:t>
      </w:r>
      <w:r>
        <w:t xml:space="preserve">Remediation Plan.</w:t>
      </w:r>
    </w:p>
    <w:p>
      <w:pPr>
        <w:pStyle w:val="kar_subsection"/>
      </w:pPr>
      <w:r>
        <w:t xml:space="preserve">(1)</w:t>
      </w:r>
      <w:r>
        <w:t xml:space="preserve"> </w:t>
      </w:r>
      <w:r>
        <w:t xml:space="preserve">If an applicant fails the examination, the applicant shall:</w:t>
      </w:r>
    </w:p>
    <w:p>
      <w:pPr>
        <w:pStyle w:val="kar_paragraph"/>
      </w:pPr>
      <w:r>
        <w:t xml:space="preserve">(a)</w:t>
      </w:r>
      <w:r>
        <w:t xml:space="preserve"> </w:t>
      </w:r>
      <w:r>
        <w:t xml:space="preserve">Not retake the examination within ninety (90) days of the failed examination date;</w:t>
      </w:r>
    </w:p>
    <w:p>
      <w:pPr>
        <w:pStyle w:val="kar_paragraph"/>
      </w:pPr>
      <w:r>
        <w:t xml:space="preserve">(b)</w:t>
      </w:r>
      <w:r>
        <w:t xml:space="preserve"> </w:t>
      </w:r>
      <w:r>
        <w:t xml:space="preserve">Submit a KBADC Form 19, Re-Examination Application; and</w:t>
      </w:r>
    </w:p>
    <w:p>
      <w:pPr>
        <w:pStyle w:val="kar_paragraph"/>
      </w:pPr>
      <w:r>
        <w:t xml:space="preserve">(c)</w:t>
      </w:r>
      <w:r>
        <w:t xml:space="preserve"> </w:t>
      </w:r>
      <w:r>
        <w:t xml:space="preserve">Submit the examination fee for the respective examination listed in 201 KAR 35:020, Section 2.</w:t>
      </w:r>
    </w:p>
    <w:p>
      <w:pPr>
        <w:pStyle w:val="kar_subsection"/>
      </w:pPr>
      <w:r>
        <w:t xml:space="preserve">(2)</w:t>
      </w:r>
      <w:r>
        <w:t xml:space="preserve"> </w:t>
      </w:r>
      <w:r>
        <w:t xml:space="preserve">If the applicant fails the examination twice or more, the applicant shall submit a remediation plan after each failed examination:</w:t>
      </w:r>
    </w:p>
    <w:p>
      <w:pPr>
        <w:pStyle w:val="kar_paragraph"/>
      </w:pPr>
      <w:r>
        <w:t xml:space="preserve">(a)</w:t>
      </w:r>
      <w:r>
        <w:t xml:space="preserve"> </w:t>
      </w:r>
      <w:r>
        <w:t xml:space="preserve">To address the deficiencies cited in the examination results; and</w:t>
      </w:r>
    </w:p>
    <w:p>
      <w:pPr>
        <w:pStyle w:val="kar_paragraph"/>
      </w:pPr>
      <w:r>
        <w:t xml:space="preserve">(b)</w:t>
      </w:r>
      <w:r>
        <w:t xml:space="preserve"> </w:t>
      </w:r>
      <w:r>
        <w:t xml:space="preserve">Cosigned by the board-approved supervisor.</w:t>
      </w:r>
    </w:p>
    <w:p>
      <w:pPr>
        <w:pStyle w:val="kar_subsection"/>
      </w:pPr>
      <w:r>
        <w:t xml:space="preserve">(3)</w:t>
      </w:r>
      <w:r>
        <w:t xml:space="preserve"> </w:t>
      </w:r>
      <w:r>
        <w:t xml:space="preserve">Upon completion of the remediation plan approved by the board, the applicant may request permission to retake the examination by filing a KBADC Form 19, Re-Examination Application, and submitting the examination fee for the respective examination listed in 201 KAR 35:020, Section 2.</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"KBADC Form 19, Re-Examination Application", December 2015, is incorporated by reference.</w:t>
      </w:r>
    </w:p>
    <w:p>
      <w:pPr>
        <w:pStyle w:val="kar_subsection"/>
      </w:pPr>
      <w:r>
        <w:t xml:space="preserve">(2)</w:t>
      </w:r>
      <w:r>
        <w:t xml:space="preserve"> </w:t>
      </w:r>
      <w:r>
        <w:t xml:space="preserve">This material may be inspected, copied, or obtained, subject to applicable copyright law, at the Kentucky Board of Alcohol and Drug Counselors, 500 Mero St, 2 SC 32, Frankfort, Kentucky 40601, Monday through Friday, 8:00 a.m. to 4:30 p.m. The board's Web site address is: https://adc.ky.gov.</w:t>
      </w:r>
    </w:p>
    <w:p>
      <w:pPr>
        <w:pStyle w:val="kar_history"/>
        <w:sectPr>
          <w:pgSz w:w="12240" w:h="15840" w:orient="portrait" w:code="1"/>
          <w:pgMar w:top="1080" w:right="1080" w:bottom="1080" w:left="1080" w:header="720" w:footer="720" w:gutter="0"/>
          <w:paperSrc w:first="263" w:other="263"/>
          <w:noEndnote/>
          <w:docGrid w:linePitch="218"/>
        </w:sectPr>
      </w:pPr>
      <w:r>
        <w:t xml:space="preserve">(43 Ky.R. 130, 1722; eff. 5-5-2017; 47 Ky.R. 2077; 48 Ky.R. 68; eff. 8-26-2021.)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9b5e144bb0347d6" /><Relationship Type="http://schemas.openxmlformats.org/officeDocument/2006/relationships/settings" Target="/word/settings.xml" Id="R37f43c713ff246ab" /></Relationships>
</file>