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b84df398e47f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36:020.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KRS 335.525(6), 335.535(1), (2), (4)</w:t>
      </w:r>
    </w:p>
    <w:p>
      <w:pPr>
        <w:pStyle w:val="kar_markup_metadata"/>
      </w:pPr>
      <w:r>
        <w:t xml:space="preserve">STATUTORY AUTHORITY: </w:t>
      </w:r>
      <w:r>
        <w:t xml:space="preserve">KRS 335.515(3), 335.525(6), 335.535</w:t>
      </w:r>
    </w:p>
    <w:p>
      <w:pPr>
        <w:pStyle w:val="kar_markup_metadata"/>
      </w:pPr>
      <w:r>
        <w:t xml:space="preserve">NECESSITY, FUNCTION, AND CONFORMITY: </w:t>
      </w:r>
      <w:r>
        <w:t xml:space="preserve">KRS 335.515(3), 335.525(6), and 335.535 require the board to promulgate administrative regulations relating to the establishment of fees. This administrative regulation establishes the application, renewal, and reinstatement fees for a professional counselor and a professional counselor associate and the date a licensure shall be renewed.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Application Fee.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application fee for licensure as a professional counselor shall be $150.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application fee for licensure as a professional counselor associate shall be fifty (50) dollars.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Renewal Fees and Penalties.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annual renewal fee for licensure as a professional counselor shall be $150.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annual renewal fee for licensure as a professional counselor associate shall be fifty (50) dollars.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late renewal fee for late renewal during the sixty (60) day grace period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Twenty-five (25) dollars for licensure as a professional counselor;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Ten (10) dollars for licensure as a professional counselor associate.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reinstatement fee for licensure renewal after the end of the sixty (60) day grace period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$100 for licensure as a professional counselor;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Forty (40) dollars for licensure as a professional counselor associate.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All fees shall be non-refundable.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(25 Ky.R. 480; Am. 828; eff. 9-16-1998; 27 Ky.R. 1326; 2727; eff. 4-9-2001; 29 Ky.R. 2509; eff. 6-16-2003; 43 Ky.R. 770, 1392; eff. 3-31-2017; Cert eff. 12-20-2023.)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aefc2d5f884978" /><Relationship Type="http://schemas.openxmlformats.org/officeDocument/2006/relationships/settings" Target="/word/settings.xml" Id="Rd257deb7e7414e70" /></Relationships>
</file>