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21c3ad2574b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38:040.</w:t>
      </w:r>
      <w:r>
        <w:t xml:space="preserve"> </w:t>
      </w:r>
      <w:r>
        <w:t xml:space="preserve">Fees.</w:t>
      </w:r>
    </w:p>
    <w:p>
      <w:pPr>
        <w:pStyle w:val="kar_markup_metadata"/>
      </w:pPr>
      <w:r>
        <w:t xml:space="preserve">RELATES TO: </w:t>
      </w:r>
      <w:r>
        <w:t xml:space="preserve">KRS 335.620(1)</w:t>
      </w:r>
    </w:p>
    <w:p>
      <w:pPr>
        <w:pStyle w:val="kar_markup_metadata"/>
      </w:pPr>
      <w:r>
        <w:t xml:space="preserve">STATUTORY AUTHORITY: </w:t>
      </w:r>
      <w:r>
        <w:t xml:space="preserve">KRS 335.615(6); 335.620(1), (8)</w:t>
      </w:r>
    </w:p>
    <w:p>
      <w:pPr>
        <w:pStyle w:val="kar_markup_metadata"/>
      </w:pPr>
      <w:r>
        <w:t xml:space="preserve">NECESSITY, FUNCTION, AND CONFORMITY: </w:t>
      </w:r>
      <w:r>
        <w:t xml:space="preserve">KRS 335.615(6) and 335.620(1) require the board to establish an initial fee for licensure. KRS 335.620(8) requires an applicant who has not received certification before July 1, 1999, to pass a written examination approved by the board. This administrative regulation establishes the initial fee for licensure and the fee for taking the written examination.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Initial Licensure Fee.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initial fee for licensure as a licensed pastoral counselor shall be $400.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If an application for licensure is denied, the board shall refund $250 of the initial licensure fee.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Written Examination Fee. The fee for taking the written examination of the Kentucky Board of Licensure for Pastoral Counselors, the Kentucky Pastoral Counselors Examination, shall be $150.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(26 Ky.R. 285; Am. 589; eff. 9-15-1999; 29 Ky.R. 1871; eff. 3-19-2003; TAm eff. 7-17-2014; Crt eff. 2-21-2020.)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9fba36bd744718" /><Relationship Type="http://schemas.openxmlformats.org/officeDocument/2006/relationships/settings" Target="/word/settings.xml" Id="R4b657106b20b4b0b" /></Relationships>
</file>