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1bf513683d409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39:080.</w:t>
      </w:r>
      <w:r>
        <w:t xml:space="preserve"> </w:t>
      </w:r>
      <w:r>
        <w:t xml:space="preserve">Reciprocity.</w:t>
      </w:r>
    </w:p>
    <w:p>
      <w:pPr>
        <w:pStyle w:val="kar_markup_metadata"/>
      </w:pPr>
      <w:r>
        <w:t xml:space="preserve">RELATES TO: </w:t>
      </w:r>
      <w:r>
        <w:t xml:space="preserve">KRS 309.304(1), 309.312(4)</w:t>
      </w:r>
    </w:p>
    <w:p>
      <w:pPr>
        <w:pStyle w:val="kar_markup_metadata"/>
      </w:pPr>
      <w:r>
        <w:t xml:space="preserve">STATUTORY AUTHORITY: </w:t>
      </w:r>
      <w:r>
        <w:t xml:space="preserve">KRS 309.304(3)</w:t>
      </w:r>
    </w:p>
    <w:p>
      <w:pPr>
        <w:pStyle w:val="kar_markup_metadata"/>
      </w:pPr>
      <w:r>
        <w:t xml:space="preserve">NECESSITY, FUNCTION, AND CONFORMITY: </w:t>
      </w:r>
      <w:r>
        <w:t xml:space="preserve">KRS 309.312(4) requires the board to promulgate an administrative regulation governing the granting of a license through reciprocity. This administrative regulation establishes the requirements for licensure by reciprocity.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An applicant for licensure by reciprocity shall: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Hold a current, valid license in good standing to practice interpreting which has been granted by at least one (1) state, U.S. Territory, the District of Columbia, or a Canadian province, which maintains an interpreter registration board;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The standards or requirements for having granted that license shall meet or exceed the licensure requirements contained in KRS Chapter 309 and 201 KAR Chapter 39;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Not have a report of disciplinary action pending in another state or province; and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Submit the reciprocity fee as set forth in 201 KAR 39:040.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(28 Ky.R. 1264; eff. 1-14-2002; Am. 38 Ky.R. 1648; 1849; eff. 6-1-2012; Crt eff. 2-21-2020.)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cf6d46c41e7469a" /><Relationship Type="http://schemas.openxmlformats.org/officeDocument/2006/relationships/settings" Target="/word/settings.xml" Id="R87744fbc0cca4ecb" /></Relationships>
</file>