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a1e0ad15ff4241" /></Relationships>
</file>

<file path=word/document.xml><?xml version="1.0" encoding="utf-8"?>
<w:document xmlns:w="http://schemas.openxmlformats.org/wordprocessingml/2006/main">
  <w:body>
    <w:p>
      <w:pPr>
        <w:pStyle w:val="kar_citation"/>
      </w:pPr>
      <w:r>
        <w:t>12 KAR 3:039.</w:t>
      </w:r>
      <w:r>
        <w:t xml:space="preserve"> </w:t>
      </w:r>
      <w:r>
        <w:t xml:space="preserve">Nutritional adequacy.</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delineates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an AAFCO-recognized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has had its capabilities 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003:039. 45 Ky.R. 210, 636;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ca3bd770044e6" /><Relationship Type="http://schemas.openxmlformats.org/officeDocument/2006/relationships/settings" Target="/word/settings.xml" Id="R68a8506ca3a6463f" /></Relationships>
</file>