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1ea49c066437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41:065.</w:t>
      </w:r>
      <w:r>
        <w:t xml:space="preserve"> </w:t>
      </w:r>
      <w:r>
        <w:t xml:space="preserve">Inactive status.</w:t>
      </w:r>
    </w:p>
    <w:p>
      <w:pPr>
        <w:pStyle w:val="kar_markup_metadata"/>
      </w:pPr>
      <w:r>
        <w:t xml:space="preserve">RELATES TO: </w:t>
      </w:r>
      <w:r>
        <w:t xml:space="preserve">KRS 329A.010(4), 329A.015, 329A.025, 329A.080</w:t>
      </w:r>
    </w:p>
    <w:p>
      <w:pPr>
        <w:pStyle w:val="kar_markup_metadata"/>
      </w:pPr>
      <w:r>
        <w:t xml:space="preserve">STATUTORY AUTHORITY: </w:t>
      </w:r>
      <w:r>
        <w:t xml:space="preserve">KRS 329A.025(3)(e), 329A.045(12)</w:t>
      </w:r>
    </w:p>
    <w:p>
      <w:pPr>
        <w:pStyle w:val="kar_markup_metadata"/>
      </w:pPr>
      <w:r>
        <w:t xml:space="preserve">NECESSITY, FUNCTION, AND CONFORMITY: </w:t>
      </w:r>
      <w:r>
        <w:t xml:space="preserve">KRS 329A.025(3)(e) authorizes the board to renew licenses and consider requiring continuing education as a condition for renewal. KRS 329A.045(12) authorizes that a valid license may be put on inactive status by the licensee at the time of renewal at a cost to be determined by the board. This administrative regulation establishes the requirements for inactive licensure status, fee payment, and continuing education.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Inactive Status.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Inactive licensure status shall be granted upon: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Written request to the board prior to the time of renewal;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Payment of the inactive license fee established in 201 KAR 41:040, Section 7.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licensee with an inactive license shall not: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Advertise or perform any of the duties established in KRS 329A.010(4);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Hold himself or herself out as a private investigator in violation of KRS 329A.015;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Display the license during the period of inactive licensure.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identification card shall be returned to the board office within ten (10) days of acknowledgement of inactive status by the board.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Violations committed while a license is inactive may subject the licensee to: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Penalties associated with KRS 329A.080;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Action pursuant to KRS 329A.025(3)(g).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The inactive licensee shall be required to either affirm the inactive status or request a return to active licensure each renewal cycle.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The licensee may return to active status upon: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Written notification to the board;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Payment of the fee established in 201 KAR 41:040, Section 7;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Providing proof of compliance with all continuing education requirements as established in 201 KAR 41:070, Section 11.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(35 Ky.R. 679; 1445; eff. 1-5-2009; 456 Ky.R. 3482; 46 Ky.R. 425; eff. 9-6-2019; Crt eff. 12-11-2019.)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cff36e80df4381" /><Relationship Type="http://schemas.openxmlformats.org/officeDocument/2006/relationships/settings" Target="/word/settings.xml" Id="Ra9d1e903c51745ab" /></Relationships>
</file>