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43dc0ba8f6490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42:010.</w:t>
      </w:r>
      <w:r>
        <w:t xml:space="preserve"> </w:t>
      </w:r>
      <w:r>
        <w:t xml:space="preserve">Goals for massage therapy sessions.</w:t>
      </w:r>
    </w:p>
    <w:p>
      <w:pPr>
        <w:pStyle w:val="kar_markup_metadata"/>
      </w:pPr>
      <w:r>
        <w:t xml:space="preserve">RELATES TO: </w:t>
      </w:r>
      <w:r>
        <w:t xml:space="preserve">KRS 309.350(7), 309.355(3)</w:t>
      </w:r>
    </w:p>
    <w:p>
      <w:pPr>
        <w:pStyle w:val="kar_markup_metadata"/>
      </w:pPr>
      <w:r>
        <w:t xml:space="preserve">STATUTORY AUTHORITY: </w:t>
      </w:r>
      <w:r>
        <w:t xml:space="preserve">KRS 309.355(3)</w:t>
      </w:r>
    </w:p>
    <w:p>
      <w:pPr>
        <w:pStyle w:val="kar_markup_metadata"/>
      </w:pPr>
      <w:r>
        <w:t xml:space="preserve">NECESSITY, FUNCTION, AND CONFORMITY: </w:t>
      </w:r>
      <w:r>
        <w:t xml:space="preserve">KRS 309.355(3) requires the board to promulgate administrative regulations setting standards of practice. This administrative regulation establishes the goals of massage therapy and possible means of achieving these goals.</w:t>
      </w:r>
    </w:p>
    <w:p>
      <w:pPr>
        <w:pStyle w:val="kar_section"/>
      </w:pPr>
      <w:r>
        <w:t xml:space="preserve">Section 1.</w:t>
      </w:r>
      <w:r>
        <w:t xml:space="preserve"> 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Goals for massage therapy shall include: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Maintaining health;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Providing relaxation;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Preserving or increasing functional capacity;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Diminishing soft-tissue pain arising from stress, anxiety, adhesions, and overuses; and</w:t>
      </w:r>
    </w:p>
    <w:p>
      <w:pPr>
        <w:pStyle w:val="kar_paragraph"/>
      </w:pPr>
      <w:r>
        <w:t xml:space="preserve">(e)</w:t>
      </w:r>
      <w:r>
        <w:t xml:space="preserve"> </w:t>
      </w:r>
      <w:r>
        <w:t xml:space="preserve">Providing treatment that is professionally appropriate for the client.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In order to reach these objectives, the massage therapist shall: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Provide consultation with a client or a referring professional on soft-tissue issues;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Evaluate clients for the appropriate approaches for each session;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Plan sessions;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Provide direct treatment; and</w:t>
      </w:r>
    </w:p>
    <w:p>
      <w:pPr>
        <w:pStyle w:val="kar_paragraph"/>
      </w:pPr>
      <w:r>
        <w:t xml:space="preserve">(e)</w:t>
      </w:r>
      <w:r>
        <w:t xml:space="preserve"> </w:t>
      </w:r>
      <w:r>
        <w:t xml:space="preserve">Provide draping and treatment in a way that ensures the safety, comfort, and privacy of the client.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With client permission, the massage therapist may interact with the client's physician or other healthcare providers if the client is under direct medical care.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Client Management.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The massage therapist shall: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Evaluate each client through:</w:t>
      </w:r>
    </w:p>
    <w:p>
      <w:pPr>
        <w:pStyle w:val="kar_subparagraph"/>
      </w:pPr>
      <w:r>
        <w:t xml:space="preserve">1.</w:t>
      </w:r>
      <w:r>
        <w:t xml:space="preserve"> </w:t>
      </w:r>
      <w:r>
        <w:t xml:space="preserve">Intake interviews;</w:t>
      </w:r>
    </w:p>
    <w:p>
      <w:pPr>
        <w:pStyle w:val="kar_subparagraph"/>
      </w:pPr>
      <w:r>
        <w:t xml:space="preserve">2.</w:t>
      </w:r>
      <w:r>
        <w:t xml:space="preserve"> </w:t>
      </w:r>
      <w:r>
        <w:t xml:space="preserve">Observation;</w:t>
      </w:r>
    </w:p>
    <w:p>
      <w:pPr>
        <w:pStyle w:val="kar_subparagraph"/>
      </w:pPr>
      <w:r>
        <w:t xml:space="preserve">3.</w:t>
      </w:r>
      <w:r>
        <w:t xml:space="preserve"> </w:t>
      </w:r>
      <w:r>
        <w:t xml:space="preserve">Palpation; and</w:t>
      </w:r>
    </w:p>
    <w:p>
      <w:pPr>
        <w:pStyle w:val="kar_subparagraph"/>
      </w:pPr>
      <w:r>
        <w:t xml:space="preserve">4.</w:t>
      </w:r>
      <w:r>
        <w:t xml:space="preserve"> </w:t>
      </w:r>
      <w:r>
        <w:t xml:space="preserve">Relevant records provided by the client;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Plan and implement a treatment session or program individualized for the client; and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Refer to a licensed healthcare provider any client whose condition is determined by the massage therapist to be beyond the therapist's scope of practice.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If the basis for a massage appointment is a referral from a healthcare provider, the massage therapist may confer with the referring healthcare provider after obtaining the client's permission.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If the client is self-referred and under the care of a doctor, the massage therapist may seek permission to: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Advise the doctor that the patient is seeking massage treatment;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Provide to the doctor the massage therapist's evaluation results;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Advise the doctor of the noted treatment plan; and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Provide a follow-up report upon completion of the massage treatment plan to enhance communication between the multidisciplinary care-giving team.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(32 Ky.R. 1015; 1226; eff. 2-3-2006; 37 Ky.R. Am. 1009; 1695; 1989; eff. 3-4-2011; Crt eff. 2-26-2020.)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35de34121f549aa" /><Relationship Type="http://schemas.openxmlformats.org/officeDocument/2006/relationships/settings" Target="/word/settings.xml" Id="R17a5f20ee6fb4281" /></Relationships>
</file>