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7d3a6bfe347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43:010.</w:t>
      </w:r>
      <w:r>
        <w:t xml:space="preserve"> </w:t>
      </w:r>
      <w:r>
        <w:t xml:space="preserve">Application procedures for licensure.</w:t>
      </w:r>
    </w:p>
    <w:p>
      <w:pPr>
        <w:pStyle w:val="kar_markup_metadata"/>
      </w:pPr>
      <w:r>
        <w:t xml:space="preserve">RELATES TO: </w:t>
      </w:r>
      <w:r>
        <w:t xml:space="preserve">KRS 319C.070, 319C.080(1), (2)</w:t>
      </w:r>
    </w:p>
    <w:p>
      <w:pPr>
        <w:pStyle w:val="kar_markup_metadata"/>
      </w:pPr>
      <w:r>
        <w:t xml:space="preserve">STATUTORY AUTHORITY: </w:t>
      </w:r>
      <w:r>
        <w:t xml:space="preserve">KRS 319C.060(2)(a)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319C.060(2)(a) requires the board to promulgate administrative regulations establishing the requirements for an applicant for licensure as a behavior analyst or assistant behavior analyst. This administrative regulation establishes the requirements for applicants for licensure.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Application Procedures.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Application for Licensure as a behavior analyst or assistant behavior analyst may be submitted after the requirements established in KRS 319C.080(1) and (2) are met.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application required by subsection (1) of this section shall be made by submitting a completed Form ABA-001, Application for Licensure, to the board. The application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certification by the applicant that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Information in the application is true, correct, and complete to the best of his or her knowledge and belief;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Applicant is aware that the board shall take disciplinary action in accordance with KRS 319C.070 if the application contains a misrepresentation or falsification;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official transcript for all levels of education required for licensure.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Licensure of Behavior Analysts. The applicant for licensure as a behavior analyst shall submit: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check or money order payable to the Kentucky State Treasurer for the application review fee and the licensure fee as required by 201 KAR 43:030;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Proof of compliance with the educational, examination, and credentialing requirements established in KRS 319C.080(1);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Proof of completion of at least five (5) hours of training in: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Adult abuse and neglect prevention;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Child abuse, neglect, and dependency prevention;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combination of paragraphs (a) and (b) of this subsection.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Licensure of Assistant Behavior Analysts. The applicant for licensure as an assistant behavior analyst shall submit: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check or money order payable to the Kentucky State Treasurer for the application review fee and the licensure fee as required by 201 KAR 43:030;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Proof of compliance with the educational, examination, and credentialing requirements established in KRS 319C.080(2);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Proof of completion of at least five (5) hours of training in: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Adult abuse and neglect prevention;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Child abuse, neglect, and dependency prevention;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combination of paragraphs (a) and (b) of this subsection.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Form ABA-001, "Application for Licensure", October 2015,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Applied Behavior Analysis Licensing Board, 911 Leawood Drive,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(37 Ky.R. 3031; 38 Ky.R. 899; eff. 12-2-11; 40 Ky.R. 122; 541; eff. 10-4-2013; 42 Ky.R. 847; 1481; eff. 12-4-2015.)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89be03aa14fc6" /><Relationship Type="http://schemas.openxmlformats.org/officeDocument/2006/relationships/settings" Target="/word/settings.xml" Id="R8aa8c27864f54d2a" /></Relationships>
</file>