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8608f9e9264336" /></Relationships>
</file>

<file path=word/document.xml><?xml version="1.0" encoding="utf-8"?>
<w:document xmlns:w="http://schemas.openxmlformats.org/wordprocessingml/2006/main">
  <w:body>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 A behavior analyst or assistant behavior analyst shall biennially, on or before the last day of the calendar month during which the license was issued:</w:t>
      </w:r>
    </w:p>
    <w:p>
      <w:pPr>
        <w:pStyle w:val="kar_subsection"/>
      </w:pPr>
      <w:r>
        <w:t xml:space="preserve">(1)</w:t>
      </w:r>
      <w:r>
        <w:t xml:space="preserve"> </w:t>
      </w:r>
      <w:r>
        <w:t xml:space="preserve">File a completed Application for Licensure Renewal; and</w:t>
      </w:r>
    </w:p>
    <w:p>
      <w:pPr>
        <w:pStyle w:val="kar_subsection"/>
      </w:pPr>
      <w:r>
        <w:t xml:space="preserve">(2)</w:t>
      </w:r>
      <w:r>
        <w:t xml:space="preserve"> </w:t>
      </w:r>
      <w:r>
        <w:t xml:space="preserve">Pay to the board the renewal fee established by 201 KAR 43:030.</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Application for Licensure Renewal; and</w:t>
      </w:r>
    </w:p>
    <w:p>
      <w:pPr>
        <w:pStyle w:val="kar_subsection"/>
      </w:pPr>
      <w:r>
        <w:t xml:space="preserve">(3)</w:t>
      </w:r>
      <w:r>
        <w:t xml:space="preserve"> </w:t>
      </w:r>
      <w:r>
        <w:t xml:space="preserve">Documentation of employment from the time of expiration of employment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 "Application for Licensure Renewal", July 2015,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911 Leawood Drive, Frankfort, Kentucky 40601, (502) 564-3296,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2166; eff. 5-31-2013; 42 Ky.R. 854; 1485; eff. 12-4-2015.)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b349bdef264d89" /><Relationship Type="http://schemas.openxmlformats.org/officeDocument/2006/relationships/settings" Target="/word/settings.xml" Id="Racf78059209d4bf8" /></Relationships>
</file>