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46bb32798643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44:110.</w:t>
      </w:r>
      <w:r>
        <w:t xml:space="preserve"> </w:t>
      </w:r>
      <w:r>
        <w:t xml:space="preserve">Licensure by endorsement.</w:t>
      </w:r>
    </w:p>
    <w:p>
      <w:pPr>
        <w:pStyle w:val="kar_markup_metadata"/>
      </w:pPr>
      <w:r>
        <w:t xml:space="preserve">RELATES TO: </w:t>
      </w:r>
      <w:r>
        <w:t xml:space="preserve">KRS 319B.130</w:t>
      </w:r>
    </w:p>
    <w:p>
      <w:pPr>
        <w:pStyle w:val="kar_markup_metadata"/>
      </w:pPr>
      <w:r>
        <w:t xml:space="preserve">STATUTORY AUTHORITY: </w:t>
      </w:r>
      <w:r>
        <w:t xml:space="preserve">KRS 319B.030, 319B.130</w:t>
      </w:r>
    </w:p>
    <w:p>
      <w:pPr>
        <w:pStyle w:val="kar_markup_metadata"/>
      </w:pPr>
      <w:r>
        <w:t xml:space="preserve">NECESSITY, FUNCTION, AND CONFORMITY: </w:t>
      </w:r>
      <w:r>
        <w:t xml:space="preserve">KRS 319B.130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The board shall issue a license by endorsement, without examination, to a prosthetist, orthotist, pedorthist, or orthotic fitter currently licensed by examination by the corresponding authority of another state upon: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Verification that the applicant meets all current requirements for licensure as established by KRS 319B.030(1);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Submission of the Kentucky Board of Prosthetics, Orthotics and Pedorthics Application for Licensure, as incorporated by reference in 201 KAR 44:090;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Payment of the fee for licensure as established by 201 KAR 44:010; and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Verification of the applicant's license issued by another state that certifies that the license is: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Active;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In good standing; and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Free of pending complaints.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(39 Ky.R. 356; 951; eff. 12-7-2012; 42 Ky.R. 2442, 2574; eff. 5-6-2016.)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2ac6cba94840d1" /><Relationship Type="http://schemas.openxmlformats.org/officeDocument/2006/relationships/settings" Target="/word/settings.xml" Id="R02986a93be8340e0" /></Relationships>
</file>