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a6697dea03456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45:160.</w:t>
      </w:r>
      <w:r>
        <w:t xml:space="preserve"> </w:t>
      </w:r>
      <w:r>
        <w:t xml:space="preserve">Scope of practice.</w:t>
      </w:r>
    </w:p>
    <w:p>
      <w:pPr>
        <w:pStyle w:val="kar_markup_metadata"/>
      </w:pPr>
      <w:r>
        <w:t xml:space="preserve">RELATES TO: </w:t>
      </w:r>
      <w:r>
        <w:t xml:space="preserve">KRS 309.331, 309.339</w:t>
      </w:r>
    </w:p>
    <w:p>
      <w:pPr>
        <w:pStyle w:val="kar_markup_metadata"/>
      </w:pPr>
      <w:r>
        <w:t xml:space="preserve">STATUTORY AUTHORITY: </w:t>
      </w:r>
      <w:r>
        <w:t xml:space="preserve">KRS 309.331</w:t>
      </w:r>
    </w:p>
    <w:p>
      <w:pPr>
        <w:pStyle w:val="kar_markup_metadata"/>
      </w:pPr>
      <w:r>
        <w:t xml:space="preserve">NECESSITY, FUNCTION, AND CONFORMITY: </w:t>
      </w:r>
      <w:r>
        <w:t xml:space="preserve">KRS 309.331 requires the board to promulgate administrative regulations for the administration and enforcement of KRS 309.325 to 309.339. This administrative regulation establishes the functions that a diabetes educator may perform.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A person holding a license or a permit from the board may perform the following functions: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Provide education and support for people with diabetes, people at risk for diabetes, and caregivers of those with diabetes;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Communicate and coordinate with other health care professionals to provide education and support for people with diabetes, people at risk for diabetes, and caregivers of those with diabetes;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Provide diabetes self-management services, including activities that assist a person in implementing and sustaining the behaviors needed to manage diabetes on an ongoing basis;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Determine the persons to whom diabetes education and services will be provided, how those education and services may be best delivered, and what resources will assist those persons;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Develop a program for diabetes management, which may include: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Describing the diabetes treatment process and treatment options;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Incorporating nutritional management into lifestyle;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Incorporating physical activity into lifestyle;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Using medications safely and effectively;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Monitoring blood glucose and other parameters and interpreting and using the results for self-management and decision making;</w:t>
      </w:r>
    </w:p>
    <w:p>
      <w:pPr>
        <w:pStyle w:val="kar_paragraph"/>
      </w:pPr>
      <w:r>
        <w:t xml:space="preserve">(f)</w:t>
      </w:r>
      <w:r>
        <w:t xml:space="preserve"> </w:t>
      </w:r>
      <w:r>
        <w:t xml:space="preserve">Preventing, detecting, and treating acute and chronic complications of diabetes;</w:t>
      </w:r>
    </w:p>
    <w:p>
      <w:pPr>
        <w:pStyle w:val="kar_paragraph"/>
      </w:pPr>
      <w:r>
        <w:t xml:space="preserve">(g)</w:t>
      </w:r>
      <w:r>
        <w:t xml:space="preserve"> </w:t>
      </w:r>
      <w:r>
        <w:t xml:space="preserve">Developing personal strategies to address psychosocial issues and concerns; or</w:t>
      </w:r>
    </w:p>
    <w:p>
      <w:pPr>
        <w:pStyle w:val="kar_paragraph"/>
      </w:pPr>
      <w:r>
        <w:t xml:space="preserve">(h)</w:t>
      </w:r>
      <w:r>
        <w:t xml:space="preserve"> </w:t>
      </w:r>
      <w:r>
        <w:t xml:space="preserve">Developing personal strategies to promote health and behavior change;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Develop an individualized education and support plan focused on behavior change, which shall be documented in an education or health record;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Develop a personalized follow-up plan for ongoing self-management support, and communicate that follow-up plan to other health care providers as necessary;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Monitor if participants are achieving their personal diabetes self-management goals and other outcomes using the following appropriate frameworks and measurement techniques: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Physical activity;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Healthy eating;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Taking medication;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Monitoring blood glucose;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Diabetes self-care related problem solving;</w:t>
      </w:r>
    </w:p>
    <w:p>
      <w:pPr>
        <w:pStyle w:val="kar_paragraph"/>
      </w:pPr>
      <w:r>
        <w:t xml:space="preserve">(f)</w:t>
      </w:r>
      <w:r>
        <w:t xml:space="preserve"> </w:t>
      </w:r>
      <w:r>
        <w:t xml:space="preserve">Reducing risks of acute and chronic complications of diabetes;</w:t>
      </w:r>
    </w:p>
    <w:p>
      <w:pPr>
        <w:pStyle w:val="kar_paragraph"/>
      </w:pPr>
      <w:r>
        <w:t xml:space="preserve">(g)</w:t>
      </w:r>
      <w:r>
        <w:t xml:space="preserve"> </w:t>
      </w:r>
      <w:r>
        <w:t xml:space="preserve">Evaluation of the psychosocial aspects of living with diabetes; or</w:t>
      </w:r>
    </w:p>
    <w:p>
      <w:pPr>
        <w:pStyle w:val="kar_subsection"/>
      </w:pPr>
      <w:r>
        <w:t xml:space="preserve">(9)</w:t>
      </w:r>
      <w:r>
        <w:t xml:space="preserve"> </w:t>
      </w:r>
      <w:r>
        <w:t xml:space="preserve">Evaluate the effectiveness of the education and services, and engage in a systematic review of process and outcome data.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(40 Ky.R. 194; 591; 791; eff. 11-1-2013; Crt eff. 10-27-2020.)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370ef8237441e5" /><Relationship Type="http://schemas.openxmlformats.org/officeDocument/2006/relationships/settings" Target="/word/settings.xml" Id="R5638993985144972" /></Relationships>
</file>