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a37112fa74d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3:010.</w:t>
      </w:r>
      <w:r>
        <w:t xml:space="preserve"> </w:t>
      </w:r>
      <w:r>
        <w:t xml:space="preserve">Code of ethics.</w:t>
      </w:r>
    </w:p>
    <w:p>
      <w:pPr>
        <w:pStyle w:val="kar_markup_metadata"/>
      </w:pPr>
      <w:r>
        <w:t xml:space="preserve">RELATES TO: </w:t>
      </w:r>
      <w:r>
        <w:t xml:space="preserve">KRS 154A.060(2)(e)</w:t>
      </w:r>
    </w:p>
    <w:p>
      <w:pPr>
        <w:pStyle w:val="kar_markup_metadata"/>
      </w:pPr>
      <w:r>
        <w:t xml:space="preserve">STATUTORY AUTHORITY: </w:t>
      </w:r>
      <w:r>
        <w:t xml:space="preserve">KRS 154A.050(1)(d), 154A.060 (2)(e)</w:t>
      </w:r>
    </w:p>
    <w:p>
      <w:pPr>
        <w:pStyle w:val="kar_markup_metadata"/>
      </w:pPr>
      <w:r>
        <w:t xml:space="preserve">NECESSITY, FUNCTION, AND CONFORMITY: </w:t>
      </w:r>
      <w:r>
        <w:t xml:space="preserve">KRS 154A.060(2)(e) requires the Kentucky Lottery Corporation to promulgate an administrative regulation establishing a code of ethics for officers and employees of the corporation. This administrative regulation establishes the Code of Ethics of the Kentucky Lottery Corporation.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Code of Ethics. An officer or employee of the Kentucky Lottery Corporation shall comply with the Kentucky Lottery Corporation Code of Ethics.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"Kentucky Lottery Corporation Code of Ethics", April 15, 2019,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Lottery Corporation, 1011 West Main Street, Louisville, Kentucky 40202-2623, Monday through Friday, 8 a.m. to 5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(24 Ky.R. 2782; Am. 25 Ky.R. 299; eff. 4-28-1999; 45 Ky.R. 3259; eff. 9-6-2019.)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c2e73da87a499d" /><Relationship Type="http://schemas.openxmlformats.org/officeDocument/2006/relationships/settings" Target="/word/settings.xml" Id="Rdf0edf9233694863" /></Relationships>
</file>