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afc89af4a4e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1:060.</w:t>
      </w:r>
      <w:r>
        <w:t xml:space="preserve"> </w:t>
      </w:r>
      <w:r>
        <w:t xml:space="preserve">Sport and rough fish.</w:t>
      </w:r>
    </w:p>
    <w:p>
      <w:pPr>
        <w:pStyle w:val="kar_markup_metadata"/>
      </w:pPr>
      <w:r>
        <w:t xml:space="preserve">RELATES TO: </w:t>
      </w:r>
      <w:r>
        <w:t xml:space="preserve">KRS 150.010, 150.015</w:t>
      </w:r>
    </w:p>
    <w:p>
      <w:pPr>
        <w:pStyle w:val="kar_markup_metadata"/>
      </w:pPr>
      <w:r>
        <w:t xml:space="preserve">STATUTORY AUTHORITY: </w:t>
      </w:r>
      <w:r>
        <w:t xml:space="preserve">KRS 150.025</w:t>
      </w:r>
    </w:p>
    <w:p>
      <w:pPr>
        <w:pStyle w:val="kar_markup_metadata"/>
      </w:pPr>
      <w:r>
        <w:t xml:space="preserve">NECESSITY, FUNCTION, AND CONFORMITY: </w:t>
      </w:r>
      <w:r>
        <w:t xml:space="preserve">KRS 150.025(1) authorizes the department to promulgate administrative regulations to regulate the taking of wildlife, including fish. This administrative regulation designates fish that shall be considered sport fish.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following fishes are designated sport fishes and may be taken only by angling: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Large mouth bass;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Rock fish (striped bass);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Small mouth Bass;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White Bass;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Kentucky Bass;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Yellow Bass;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Coosa Bass;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Musky;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Rock Bass;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Northern Pike;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White Crappie;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Black Crappie;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Chain Pickerel;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Trout;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Walleye;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Sauger;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Redear Sunfish; and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Hybrids of any of the above.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All species of fishes, except those listed in Section 1 of this administrative regulation, are hereby designated as rough fish and may be harvested by the methods prescribed by any section of KRS Chapter 150 or 301 KAR Chapter 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Sport fish, regardless of size or how obtained, shall not be used as bait, except, Redear Sunfish less than six (6) inches long may be used as bait.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(KFWR-F-120; 1 Ky.R. 63; eff. 11-13-1974; 6 Ky.R. 186; eff. 11-7-1979; 19 Ky.R. 453; eff. 9-23-1992; 31 Ky.R. 819; 1072; eff. 1-4-2005; TAm eff. 9-12-2019; Crt eff. 11-8-2019.)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5774ef66b84485" /><Relationship Type="http://schemas.openxmlformats.org/officeDocument/2006/relationships/settings" Target="/word/settings.xml" Id="R833943e40a8047c3" /></Relationships>
</file>