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bed0b97a449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1:185.</w:t>
      </w:r>
      <w:r>
        <w:t xml:space="preserve"> </w:t>
      </w:r>
      <w:r>
        <w:t xml:space="preserve">Pay lakes.</w:t>
      </w:r>
    </w:p>
    <w:p>
      <w:pPr>
        <w:pStyle w:val="kar_markup_metadata"/>
      </w:pPr>
      <w:r>
        <w:t xml:space="preserve">RELATES TO: </w:t>
      </w:r>
      <w:r>
        <w:t xml:space="preserve">KRS 150.470, 150.990</w:t>
      </w:r>
    </w:p>
    <w:p>
      <w:pPr>
        <w:pStyle w:val="kar_markup_metadata"/>
      </w:pPr>
      <w:r>
        <w:t xml:space="preserve">STATUTORY AUTHORITY: </w:t>
      </w:r>
      <w:r>
        <w:t xml:space="preserve">KRS 150.025(1)(h), 150.175(24), 150.660</w:t>
      </w:r>
    </w:p>
    <w:p>
      <w:pPr>
        <w:pStyle w:val="kar_markup_metadata"/>
      </w:pPr>
      <w:r>
        <w:t xml:space="preserve">NECESSITY, FUNCTION, AND CONFORMITY: </w:t>
      </w:r>
      <w:r>
        <w:t xml:space="preserve">KRS 150.025(1)(h) authorizes the department to promulgate administrative regulations reasonably necessary to carry out the purposes of KRS Chapter 150. KRS 150.175(24) establishes a pay lake license that authorizes the holder to operate privately-owned impounded waters for fishing purposes for which a fee is charged. KRS 150.660 authorizes a person to establish a pay lake subject to the approval of the Commissioner of the department. This administrative regulation establishes the requirements for pay lake operators.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"Pay lake" means a privately-owned, impounded body of water where a daily fee is charged to fish, and is open to the public.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"Pay lake operator" means a person who holds a valid pay lake license, as established in 301 KAR 3:022.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"Trophy catfish" means 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Blue or flathead catfish that is a minimum of thirty-five (35) inches in length;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Channel catfish that is a minimum of twenty-eight (28) inches in length.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Pay Lake License and Signage.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shall not operate a pay lake without a valid pay lake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pay lake license shall be transferable, but only for the same pay lake, except that no license may be transferred while an enforcement action is pending.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pay lake operator shall post clearly visible signage stating: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water body of origin of stocked catfish and any associated consumption advisories, if applicable;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Fish handling policies if catch and release fishing is offered.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Documentation and Fish Stocking Requirements.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pay lake shall not accept catfish that have been gifted to them.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pay lake shall save all receipts for three (3) years from the date of purchase, for each fish order received, and the receipts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name, address, and telephone number of: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hatchery, if obtained from a hatchery;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commercial fisherman and driver who provided the fish, if obtained from public waters;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Purchase dates;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following details of fish by species, except catfish shall be recorded with separate entries for trophy and non-trophy catfish of each species, which includes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Estimated number of fish;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Poundage;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Waterbody of origin.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pay lake may stock trophy catfish from public waters up to 750 pounds per surface acre of water per stocking, with a maximum annual limit of up to 2,250 pounds per surface acre of water per calendar year.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Non-conforming Pay Lakes. Any lake not meeting the definition of a pay lake, as established in Section 1 of this administrative regulation, shall not qualify for a pay lake license, except that any non-conforming pay lake that was previously licensed as a pay lake for all license years 2008 through 2018 inclusive, shall be permitted to renew a pay lake license until the pay lake operator does not purchase a pay lake license for one (1) annual license period or the pay lake license is revoked as established in Section 6 of this administrative regulation. Notwithstanding any other provision, non-conforming pay lake licenses are non-transferable, and shall not be renewed after the 2054-2055 license year.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Pay Lakes With Trophy Catfish From Public Waters.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There shall be a maximum of thirty-five (35) pay lakes with trophy catfish originating from public waters in any pay lake license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there are more than thirty-five (35) licensed pay lakes, as established in subsection (1) of this section, at the effective date of this administrative regulation, each licensed pay lake shall be permitted to renew a pay lake license until the pay lake operator does not purchase a pay lake license for one (1) annual license period.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at the end of a pay lake license year, less than thirty-five (35) pay lake licenses were issued, as established in subsection (1) of this section, then the department shall issue pay lake licenses on a first-come, first-served basis beginning on the first work day of the next license year.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Pay Lake License Revocation.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pay lake operator who violates this administrative regulation or is convicted or enters a guilty plea to any state or federal fish or game violation shall have his or her pay lake license revoked for a period of three (3) months for a first offense, one (1) year for a second offense, and two (2) years for a third or subsequent offense, except any revocation of non-conforming pay lake licenses shall be permanent.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pay lake operator whose pay lake license is denied, revoked, or suspended may request an administrative hearing as established in KRS Chapter 13B.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request for a hearing shall be in writing and postmarked or delivered in person to the department no later than thirty (30) days after notification of the denial or revocation.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Upon receipt of the request for a hearing, the department shall proceed as established in KRS Chapter 13B.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hearing officer's recommended order shall be considered by the Commissioner and the Commissioner shall issue a final order as established in KRS Chapter 13B. Approved by the Fish and Wildlife Commission.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(46 Ky.R. 813, 1103; eff. 11-1-2019.)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255897075847bb" /><Relationship Type="http://schemas.openxmlformats.org/officeDocument/2006/relationships/settings" Target="/word/settings.xml" Id="Rf7cfe5c5c3a54140" /></Relationships>
</file>